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360" w:lineRule="exac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w:t>
      </w:r>
    </w:p>
    <w:tbl>
      <w:tblPr>
        <w:tblStyle w:val="8"/>
        <w:tblW w:w="141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2"/>
        <w:gridCol w:w="1195"/>
        <w:gridCol w:w="1131"/>
        <w:gridCol w:w="1117"/>
        <w:gridCol w:w="654"/>
        <w:gridCol w:w="3992"/>
        <w:gridCol w:w="2765"/>
        <w:gridCol w:w="1071"/>
        <w:gridCol w:w="1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tblHeader/>
        </w:trPr>
        <w:tc>
          <w:tcPr>
            <w:tcW w:w="14133" w:type="dxa"/>
            <w:gridSpan w:val="9"/>
            <w:tcBorders>
              <w:top w:val="nil"/>
              <w:left w:val="nil"/>
              <w:bottom w:val="single" w:color="auto" w:sz="4" w:space="0"/>
              <w:right w:val="nil"/>
            </w:tcBorders>
            <w:noWrap/>
            <w:vAlign w:val="center"/>
          </w:tcPr>
          <w:p>
            <w:pPr>
              <w:keepNext w:val="0"/>
              <w:keepLines w:val="0"/>
              <w:pageBreakBefore w:val="0"/>
              <w:widowControl/>
              <w:kinsoku/>
              <w:wordWrap/>
              <w:overflowPunct/>
              <w:topLinePunct w:val="0"/>
              <w:autoSpaceDE/>
              <w:autoSpaceDN/>
              <w:bidi w:val="0"/>
              <w:spacing w:line="480" w:lineRule="auto"/>
              <w:jc w:val="center"/>
              <w:rPr>
                <w:rFonts w:hint="eastAsia" w:ascii="仿宋" w:hAnsi="仿宋" w:eastAsia="仿宋" w:cs="仿宋"/>
                <w:b/>
                <w:bCs/>
                <w:sz w:val="20"/>
                <w:szCs w:val="20"/>
                <w:highlight w:val="none"/>
              </w:rPr>
            </w:pPr>
            <w:r>
              <w:rPr>
                <w:rFonts w:hint="eastAsia" w:ascii="方正小标宋简体" w:hAnsi="仿宋" w:eastAsia="方正小标宋简体"/>
                <w:bCs/>
                <w:sz w:val="44"/>
                <w:szCs w:val="44"/>
                <w:highlight w:val="none"/>
                <w:lang w:val="en-US" w:eastAsia="zh-CN"/>
              </w:rPr>
              <w:t>2021年贵州省拟招聘高校产业导师（研究生导师类）岗位需求表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blHeader/>
        </w:trPr>
        <w:tc>
          <w:tcPr>
            <w:tcW w:w="472" w:type="dxa"/>
            <w:tcBorders>
              <w:top w:val="single" w:color="auto" w:sz="4" w:space="0"/>
              <w:bottom w:val="single" w:color="auto" w:sz="4" w:space="0"/>
            </w:tcBorders>
            <w:noWrap/>
            <w:vAlign w:val="center"/>
          </w:tcPr>
          <w:p>
            <w:pPr>
              <w:keepNext w:val="0"/>
              <w:keepLines w:val="0"/>
              <w:pageBreakBefore w:val="0"/>
              <w:widowControl/>
              <w:kinsoku/>
              <w:wordWrap/>
              <w:overflowPunct/>
              <w:topLinePunct w:val="0"/>
              <w:autoSpaceDE/>
              <w:autoSpaceDN/>
              <w:bidi w:val="0"/>
              <w:spacing w:line="300" w:lineRule="exact"/>
              <w:jc w:val="center"/>
              <w:rPr>
                <w:rFonts w:hint="eastAsia" w:ascii="仿宋" w:hAnsi="仿宋" w:eastAsia="仿宋" w:cs="仿宋"/>
                <w:b/>
                <w:bCs/>
                <w:sz w:val="20"/>
                <w:szCs w:val="20"/>
                <w:highlight w:val="none"/>
              </w:rPr>
            </w:pPr>
            <w:r>
              <w:rPr>
                <w:rFonts w:hint="eastAsia" w:ascii="仿宋" w:hAnsi="仿宋" w:eastAsia="仿宋" w:cs="仿宋"/>
                <w:b/>
                <w:bCs/>
                <w:sz w:val="20"/>
                <w:szCs w:val="20"/>
                <w:highlight w:val="none"/>
              </w:rPr>
              <w:t>序号</w:t>
            </w:r>
          </w:p>
        </w:tc>
        <w:tc>
          <w:tcPr>
            <w:tcW w:w="1195" w:type="dxa"/>
            <w:tcBorders>
              <w:top w:val="single" w:color="auto" w:sz="4" w:space="0"/>
              <w:bottom w:val="single" w:color="auto" w:sz="4" w:space="0"/>
            </w:tcBorders>
            <w:noWrap/>
            <w:vAlign w:val="center"/>
          </w:tcPr>
          <w:p>
            <w:pPr>
              <w:keepNext w:val="0"/>
              <w:keepLines w:val="0"/>
              <w:pageBreakBefore w:val="0"/>
              <w:widowControl/>
              <w:kinsoku/>
              <w:wordWrap/>
              <w:overflowPunct/>
              <w:topLinePunct w:val="0"/>
              <w:autoSpaceDE/>
              <w:autoSpaceDN/>
              <w:bidi w:val="0"/>
              <w:spacing w:line="300" w:lineRule="exact"/>
              <w:jc w:val="center"/>
              <w:rPr>
                <w:rFonts w:hint="eastAsia" w:ascii="仿宋" w:hAnsi="仿宋" w:eastAsia="仿宋" w:cs="仿宋"/>
                <w:b/>
                <w:bCs/>
                <w:sz w:val="20"/>
                <w:szCs w:val="20"/>
                <w:highlight w:val="none"/>
                <w:lang w:val="en-US" w:eastAsia="zh-CN"/>
              </w:rPr>
            </w:pPr>
            <w:r>
              <w:rPr>
                <w:rFonts w:hint="eastAsia" w:ascii="仿宋" w:hAnsi="仿宋" w:eastAsia="仿宋" w:cs="仿宋"/>
                <w:b/>
                <w:bCs/>
                <w:sz w:val="20"/>
                <w:szCs w:val="20"/>
                <w:highlight w:val="none"/>
                <w:lang w:val="en-US" w:eastAsia="zh-CN"/>
              </w:rPr>
              <w:t>聘任单位</w:t>
            </w:r>
          </w:p>
        </w:tc>
        <w:tc>
          <w:tcPr>
            <w:tcW w:w="1131" w:type="dxa"/>
            <w:tcBorders>
              <w:top w:val="single" w:color="auto" w:sz="4" w:space="0"/>
              <w:bottom w:val="single" w:color="auto" w:sz="4" w:space="0"/>
            </w:tcBorders>
            <w:noWrap/>
            <w:vAlign w:val="center"/>
          </w:tcPr>
          <w:p>
            <w:pPr>
              <w:keepNext w:val="0"/>
              <w:keepLines w:val="0"/>
              <w:pageBreakBefore w:val="0"/>
              <w:widowControl/>
              <w:kinsoku/>
              <w:wordWrap/>
              <w:overflowPunct/>
              <w:topLinePunct w:val="0"/>
              <w:autoSpaceDE/>
              <w:autoSpaceDN/>
              <w:bidi w:val="0"/>
              <w:spacing w:line="300" w:lineRule="exact"/>
              <w:jc w:val="center"/>
              <w:rPr>
                <w:rFonts w:hint="eastAsia" w:ascii="仿宋" w:hAnsi="仿宋" w:eastAsia="仿宋" w:cs="仿宋"/>
                <w:b/>
                <w:bCs/>
                <w:sz w:val="20"/>
                <w:szCs w:val="20"/>
                <w:highlight w:val="none"/>
              </w:rPr>
            </w:pPr>
            <w:r>
              <w:rPr>
                <w:rFonts w:hint="eastAsia" w:ascii="仿宋" w:hAnsi="仿宋" w:eastAsia="仿宋" w:cs="仿宋"/>
                <w:b/>
                <w:bCs/>
                <w:sz w:val="20"/>
                <w:szCs w:val="20"/>
                <w:highlight w:val="none"/>
              </w:rPr>
              <w:t>岗位名称</w:t>
            </w:r>
          </w:p>
        </w:tc>
        <w:tc>
          <w:tcPr>
            <w:tcW w:w="1117" w:type="dxa"/>
            <w:tcBorders>
              <w:top w:val="single" w:color="auto" w:sz="4" w:space="0"/>
              <w:bottom w:val="single" w:color="auto" w:sz="4" w:space="0"/>
            </w:tcBorders>
            <w:noWrap/>
            <w:vAlign w:val="center"/>
          </w:tcPr>
          <w:p>
            <w:pPr>
              <w:keepNext w:val="0"/>
              <w:keepLines w:val="0"/>
              <w:pageBreakBefore w:val="0"/>
              <w:widowControl/>
              <w:kinsoku/>
              <w:wordWrap/>
              <w:overflowPunct/>
              <w:topLinePunct w:val="0"/>
              <w:autoSpaceDE/>
              <w:autoSpaceDN/>
              <w:bidi w:val="0"/>
              <w:spacing w:line="300" w:lineRule="exact"/>
              <w:jc w:val="center"/>
              <w:rPr>
                <w:rFonts w:hint="eastAsia" w:ascii="仿宋" w:hAnsi="仿宋" w:eastAsia="仿宋" w:cs="仿宋"/>
                <w:b/>
                <w:bCs/>
                <w:sz w:val="20"/>
                <w:szCs w:val="20"/>
                <w:highlight w:val="none"/>
              </w:rPr>
            </w:pPr>
            <w:r>
              <w:rPr>
                <w:rFonts w:hint="eastAsia" w:ascii="仿宋" w:hAnsi="仿宋" w:eastAsia="仿宋" w:cs="仿宋"/>
                <w:b/>
                <w:bCs/>
                <w:sz w:val="20"/>
                <w:szCs w:val="20"/>
                <w:highlight w:val="none"/>
              </w:rPr>
              <w:t>研究方向</w:t>
            </w:r>
          </w:p>
        </w:tc>
        <w:tc>
          <w:tcPr>
            <w:tcW w:w="654" w:type="dxa"/>
            <w:tcBorders>
              <w:top w:val="single" w:color="auto" w:sz="4" w:space="0"/>
              <w:bottom w:val="single" w:color="auto" w:sz="4" w:space="0"/>
            </w:tcBorders>
            <w:noWrap/>
            <w:vAlign w:val="center"/>
          </w:tcPr>
          <w:p>
            <w:pPr>
              <w:keepNext w:val="0"/>
              <w:keepLines w:val="0"/>
              <w:pageBreakBefore w:val="0"/>
              <w:widowControl/>
              <w:kinsoku/>
              <w:wordWrap/>
              <w:overflowPunct/>
              <w:topLinePunct w:val="0"/>
              <w:autoSpaceDE/>
              <w:autoSpaceDN/>
              <w:bidi w:val="0"/>
              <w:spacing w:line="300" w:lineRule="exact"/>
              <w:jc w:val="center"/>
              <w:rPr>
                <w:rFonts w:hint="eastAsia" w:ascii="仿宋" w:hAnsi="仿宋" w:eastAsia="仿宋" w:cs="仿宋"/>
                <w:b/>
                <w:bCs/>
                <w:sz w:val="20"/>
                <w:szCs w:val="20"/>
                <w:highlight w:val="none"/>
              </w:rPr>
            </w:pPr>
            <w:r>
              <w:rPr>
                <w:rFonts w:hint="eastAsia" w:ascii="仿宋" w:hAnsi="仿宋" w:eastAsia="仿宋" w:cs="仿宋"/>
                <w:b/>
                <w:bCs/>
                <w:sz w:val="20"/>
                <w:szCs w:val="20"/>
                <w:highlight w:val="none"/>
                <w:lang w:val="en-US" w:eastAsia="zh-CN"/>
              </w:rPr>
              <w:t>聘任</w:t>
            </w:r>
            <w:r>
              <w:rPr>
                <w:rFonts w:hint="eastAsia" w:ascii="仿宋" w:hAnsi="仿宋" w:eastAsia="仿宋" w:cs="仿宋"/>
                <w:b/>
                <w:bCs/>
                <w:sz w:val="20"/>
                <w:szCs w:val="20"/>
                <w:highlight w:val="none"/>
              </w:rPr>
              <w:t>数量</w:t>
            </w:r>
          </w:p>
        </w:tc>
        <w:tc>
          <w:tcPr>
            <w:tcW w:w="3992" w:type="dxa"/>
            <w:tcBorders>
              <w:top w:val="single" w:color="auto" w:sz="4" w:space="0"/>
              <w:bottom w:val="single" w:color="auto" w:sz="4" w:space="0"/>
            </w:tcBorders>
            <w:noWrap/>
            <w:vAlign w:val="center"/>
          </w:tcPr>
          <w:p>
            <w:pPr>
              <w:keepNext w:val="0"/>
              <w:keepLines w:val="0"/>
              <w:pageBreakBefore w:val="0"/>
              <w:widowControl/>
              <w:kinsoku/>
              <w:wordWrap/>
              <w:overflowPunct/>
              <w:topLinePunct w:val="0"/>
              <w:autoSpaceDE/>
              <w:autoSpaceDN/>
              <w:bidi w:val="0"/>
              <w:spacing w:line="300" w:lineRule="exact"/>
              <w:jc w:val="center"/>
              <w:rPr>
                <w:rFonts w:hint="eastAsia" w:ascii="仿宋" w:hAnsi="仿宋" w:eastAsia="仿宋" w:cs="仿宋"/>
                <w:b/>
                <w:bCs/>
                <w:sz w:val="20"/>
                <w:szCs w:val="20"/>
                <w:highlight w:val="none"/>
              </w:rPr>
            </w:pPr>
            <w:r>
              <w:rPr>
                <w:rFonts w:hint="eastAsia" w:ascii="仿宋" w:hAnsi="仿宋" w:eastAsia="仿宋" w:cs="仿宋"/>
                <w:b/>
                <w:bCs/>
                <w:sz w:val="20"/>
                <w:szCs w:val="20"/>
                <w:highlight w:val="none"/>
              </w:rPr>
              <w:t>岗位职责简述</w:t>
            </w:r>
          </w:p>
        </w:tc>
        <w:tc>
          <w:tcPr>
            <w:tcW w:w="2765" w:type="dxa"/>
            <w:tcBorders>
              <w:top w:val="single" w:color="auto" w:sz="4" w:space="0"/>
              <w:bottom w:val="single" w:color="auto" w:sz="4" w:space="0"/>
            </w:tcBorders>
            <w:noWrap/>
            <w:vAlign w:val="center"/>
          </w:tcPr>
          <w:p>
            <w:pPr>
              <w:keepNext w:val="0"/>
              <w:keepLines w:val="0"/>
              <w:pageBreakBefore w:val="0"/>
              <w:widowControl/>
              <w:kinsoku/>
              <w:wordWrap/>
              <w:overflowPunct/>
              <w:topLinePunct w:val="0"/>
              <w:autoSpaceDE/>
              <w:autoSpaceDN/>
              <w:bidi w:val="0"/>
              <w:spacing w:line="300" w:lineRule="exact"/>
              <w:jc w:val="center"/>
              <w:rPr>
                <w:rFonts w:hint="eastAsia" w:ascii="仿宋" w:hAnsi="仿宋" w:eastAsia="仿宋" w:cs="仿宋"/>
                <w:b/>
                <w:bCs/>
                <w:sz w:val="20"/>
                <w:szCs w:val="20"/>
                <w:highlight w:val="none"/>
              </w:rPr>
            </w:pPr>
            <w:r>
              <w:rPr>
                <w:rFonts w:hint="eastAsia" w:ascii="仿宋" w:hAnsi="仿宋" w:eastAsia="仿宋" w:cs="仿宋"/>
                <w:b/>
                <w:bCs/>
                <w:sz w:val="20"/>
                <w:szCs w:val="20"/>
                <w:highlight w:val="none"/>
              </w:rPr>
              <w:t>专业指导要求</w:t>
            </w:r>
          </w:p>
        </w:tc>
        <w:tc>
          <w:tcPr>
            <w:tcW w:w="1071" w:type="dxa"/>
            <w:tcBorders>
              <w:top w:val="single" w:color="auto" w:sz="4" w:space="0"/>
              <w:bottom w:val="single" w:color="auto" w:sz="4" w:space="0"/>
            </w:tcBorders>
            <w:noWrap/>
            <w:vAlign w:val="center"/>
          </w:tcPr>
          <w:p>
            <w:pPr>
              <w:keepNext w:val="0"/>
              <w:keepLines w:val="0"/>
              <w:pageBreakBefore w:val="0"/>
              <w:widowControl/>
              <w:kinsoku/>
              <w:wordWrap/>
              <w:overflowPunct/>
              <w:topLinePunct w:val="0"/>
              <w:autoSpaceDE/>
              <w:autoSpaceDN/>
              <w:bidi w:val="0"/>
              <w:spacing w:line="300" w:lineRule="exact"/>
              <w:jc w:val="center"/>
              <w:rPr>
                <w:rFonts w:hint="eastAsia" w:ascii="仿宋" w:hAnsi="仿宋" w:eastAsia="仿宋" w:cs="仿宋"/>
                <w:b/>
                <w:bCs/>
                <w:sz w:val="20"/>
                <w:szCs w:val="20"/>
                <w:highlight w:val="none"/>
              </w:rPr>
            </w:pPr>
            <w:r>
              <w:rPr>
                <w:rFonts w:hint="eastAsia" w:ascii="仿宋" w:hAnsi="仿宋" w:eastAsia="仿宋" w:cs="仿宋"/>
                <w:b/>
                <w:bCs/>
                <w:sz w:val="20"/>
                <w:szCs w:val="20"/>
                <w:highlight w:val="none"/>
              </w:rPr>
              <w:t>对应领域</w:t>
            </w:r>
          </w:p>
        </w:tc>
        <w:tc>
          <w:tcPr>
            <w:tcW w:w="1736" w:type="dxa"/>
            <w:tcBorders>
              <w:top w:val="single" w:color="auto" w:sz="4" w:space="0"/>
              <w:bottom w:val="single" w:color="auto" w:sz="4" w:space="0"/>
            </w:tcBorders>
            <w:vAlign w:val="center"/>
          </w:tcPr>
          <w:p>
            <w:pPr>
              <w:keepNext w:val="0"/>
              <w:keepLines w:val="0"/>
              <w:pageBreakBefore w:val="0"/>
              <w:widowControl/>
              <w:kinsoku/>
              <w:wordWrap/>
              <w:overflowPunct/>
              <w:topLinePunct w:val="0"/>
              <w:autoSpaceDE/>
              <w:autoSpaceDN/>
              <w:bidi w:val="0"/>
              <w:spacing w:line="300" w:lineRule="exact"/>
              <w:jc w:val="center"/>
              <w:rPr>
                <w:rFonts w:hint="eastAsia" w:ascii="仿宋" w:hAnsi="仿宋" w:eastAsia="仿宋" w:cs="仿宋"/>
                <w:b/>
                <w:bCs/>
                <w:sz w:val="20"/>
                <w:szCs w:val="20"/>
                <w:highlight w:val="none"/>
              </w:rPr>
            </w:pPr>
            <w:r>
              <w:rPr>
                <w:rFonts w:hint="eastAsia" w:ascii="仿宋" w:hAnsi="仿宋" w:eastAsia="仿宋" w:cs="仿宋"/>
                <w:b/>
                <w:bCs/>
                <w:sz w:val="20"/>
                <w:szCs w:val="20"/>
                <w:highlight w:val="none"/>
              </w:rPr>
              <w:t>产业导师来源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5" w:hRule="atLeast"/>
        </w:trPr>
        <w:tc>
          <w:tcPr>
            <w:tcW w:w="472" w:type="dxa"/>
            <w:noWrap/>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kern w:val="2"/>
                <w:sz w:val="20"/>
                <w:szCs w:val="20"/>
                <w:highlight w:val="none"/>
                <w:lang w:val="en-US" w:eastAsia="zh-CN" w:bidi="ar-SA"/>
              </w:rPr>
            </w:pPr>
            <w:r>
              <w:rPr>
                <w:rFonts w:hint="eastAsia" w:ascii="仿宋" w:hAnsi="仿宋" w:eastAsia="仿宋" w:cs="仿宋"/>
                <w:sz w:val="20"/>
                <w:szCs w:val="20"/>
                <w:highlight w:val="none"/>
                <w:lang w:val="en-US" w:eastAsia="zh-CN"/>
              </w:rPr>
              <w:t>1</w:t>
            </w:r>
          </w:p>
        </w:tc>
        <w:tc>
          <w:tcPr>
            <w:tcW w:w="1195" w:type="dxa"/>
            <w:noWrap/>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noWrap/>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翻译专业类别硕士研究生导师</w:t>
            </w:r>
          </w:p>
        </w:tc>
        <w:tc>
          <w:tcPr>
            <w:tcW w:w="1117" w:type="dxa"/>
            <w:noWrap/>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日语笔译</w:t>
            </w:r>
          </w:p>
        </w:tc>
        <w:tc>
          <w:tcPr>
            <w:tcW w:w="654" w:type="dxa"/>
            <w:noWrap/>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rPr>
              <w:t>1</w:t>
            </w:r>
          </w:p>
        </w:tc>
        <w:tc>
          <w:tcPr>
            <w:tcW w:w="3992" w:type="dxa"/>
            <w:noWrap/>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参与高校学科团队建设，推动所在企业与高校联合开展日本等国家文化交流等相关科研项目研究，推动所在企业成为高校教学和实习基地，创造条件吸纳高校毕业生就业。</w:t>
            </w:r>
          </w:p>
        </w:tc>
        <w:tc>
          <w:tcPr>
            <w:tcW w:w="2765" w:type="dxa"/>
            <w:noWrap/>
            <w:vAlign w:val="center"/>
          </w:tcPr>
          <w:p>
            <w:pPr>
              <w:keepNext w:val="0"/>
              <w:keepLines w:val="0"/>
              <w:pageBreakBefore w:val="0"/>
              <w:widowControl/>
              <w:kinsoku/>
              <w:wordWrap/>
              <w:overflowPunct/>
              <w:topLinePunct w:val="0"/>
              <w:autoSpaceDE/>
              <w:autoSpaceDN/>
              <w:bidi w:val="0"/>
              <w:spacing w:line="240" w:lineRule="exact"/>
              <w:rPr>
                <w:rFonts w:hint="eastAsia"/>
              </w:rPr>
            </w:pPr>
            <w:r>
              <w:rPr>
                <w:rFonts w:hint="eastAsia"/>
              </w:rPr>
              <w:t>1. 具有外国语言文学专业背景；</w:t>
            </w:r>
          </w:p>
          <w:p>
            <w:pPr>
              <w:keepNext w:val="0"/>
              <w:keepLines w:val="0"/>
              <w:pageBreakBefore w:val="0"/>
              <w:widowControl/>
              <w:kinsoku/>
              <w:wordWrap/>
              <w:overflowPunct/>
              <w:topLinePunct w:val="0"/>
              <w:autoSpaceDE/>
              <w:autoSpaceDN/>
              <w:bidi w:val="0"/>
              <w:spacing w:line="240" w:lineRule="exact"/>
              <w:rPr>
                <w:rFonts w:hint="eastAsia"/>
              </w:rPr>
            </w:pPr>
            <w:r>
              <w:rPr>
                <w:rFonts w:hint="eastAsia"/>
              </w:rPr>
              <w:t>2. 具有培训学生所需的科研场所，科研经费；</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3. 原则上应具有副高以上职称。</w:t>
            </w:r>
          </w:p>
        </w:tc>
        <w:tc>
          <w:tcPr>
            <w:tcW w:w="1071" w:type="dxa"/>
            <w:noWrap/>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日语</w:t>
            </w:r>
            <w:r>
              <w:rPr>
                <w:rFonts w:hint="eastAsia"/>
              </w:rPr>
              <w:t>翻译领域</w:t>
            </w:r>
          </w:p>
        </w:tc>
        <w:tc>
          <w:tcPr>
            <w:tcW w:w="1736"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5"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kern w:val="2"/>
                <w:sz w:val="20"/>
                <w:szCs w:val="20"/>
                <w:highlight w:val="none"/>
                <w:lang w:val="en-US" w:eastAsia="zh-CN" w:bidi="ar-SA"/>
              </w:rPr>
            </w:pPr>
            <w:r>
              <w:rPr>
                <w:rFonts w:hint="eastAsia" w:ascii="仿宋" w:hAnsi="仿宋" w:eastAsia="仿宋" w:cs="仿宋"/>
                <w:sz w:val="20"/>
                <w:szCs w:val="20"/>
                <w:highlight w:val="none"/>
                <w:lang w:val="en-US" w:eastAsia="zh-CN"/>
              </w:rPr>
              <w:t>2</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法律专业类别硕士研究生导师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法律</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rPr>
              <w:t>1</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参与高校学科团队建设，推动所在企业与高校联合开展法律相关科研项目研究，承担法律硕士研究生实习基地建设，推动所在企业成为高校教学和实习基地，创造条件吸纳高校毕业生就业。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rPr>
            </w:pPr>
            <w:r>
              <w:rPr>
                <w:rFonts w:hint="eastAsia"/>
              </w:rPr>
              <w:t>1. 具有法学专业背景；</w:t>
            </w:r>
          </w:p>
          <w:p>
            <w:pPr>
              <w:keepNext w:val="0"/>
              <w:keepLines w:val="0"/>
              <w:pageBreakBefore w:val="0"/>
              <w:widowControl/>
              <w:kinsoku/>
              <w:wordWrap/>
              <w:overflowPunct/>
              <w:topLinePunct w:val="0"/>
              <w:autoSpaceDE/>
              <w:autoSpaceDN/>
              <w:bidi w:val="0"/>
              <w:spacing w:line="240" w:lineRule="exact"/>
              <w:rPr>
                <w:rFonts w:hint="eastAsia"/>
              </w:rPr>
            </w:pPr>
            <w:r>
              <w:rPr>
                <w:rFonts w:hint="eastAsia"/>
              </w:rPr>
              <w:t>2. 具有培训学生所需的科研场所，仪器设备及科研经费；</w:t>
            </w:r>
          </w:p>
          <w:p>
            <w:pPr>
              <w:keepNext w:val="0"/>
              <w:keepLines w:val="0"/>
              <w:pageBreakBefore w:val="0"/>
              <w:widowControl/>
              <w:kinsoku/>
              <w:wordWrap/>
              <w:overflowPunct/>
              <w:topLinePunct w:val="0"/>
              <w:autoSpaceDE/>
              <w:autoSpaceDN/>
              <w:bidi w:val="0"/>
              <w:spacing w:line="240" w:lineRule="exact"/>
              <w:rPr>
                <w:rFonts w:hint="eastAsia"/>
                <w:lang w:val="zh-TW" w:eastAsia="zh-TW"/>
              </w:rPr>
            </w:pPr>
            <w:r>
              <w:rPr>
                <w:rFonts w:hint="eastAsia"/>
              </w:rPr>
              <w:t>3. 原则上应具有副高以上职称。</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法律领域</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5"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kern w:val="2"/>
                <w:sz w:val="20"/>
                <w:szCs w:val="20"/>
                <w:highlight w:val="none"/>
                <w:lang w:val="en-US" w:eastAsia="zh-CN" w:bidi="ar-SA"/>
              </w:rPr>
            </w:pPr>
            <w:r>
              <w:rPr>
                <w:rFonts w:hint="eastAsia" w:ascii="仿宋" w:hAnsi="仿宋" w:eastAsia="仿宋" w:cs="仿宋"/>
                <w:sz w:val="20"/>
                <w:szCs w:val="20"/>
                <w:highlight w:val="none"/>
                <w:lang w:val="en-US" w:eastAsia="zh-CN"/>
              </w:rPr>
              <w:t>3</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生物与医药专业类别硕士研究生导师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食品加工、酿酒</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rPr>
              <w:t>6</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推动所在企业与高校联合开展食品加工及酿酒相关科研项目研究，承担高校科研成果中试放大和产业化基地建设，积极转化高科技创新成果，推动所在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rPr>
            </w:pPr>
            <w:r>
              <w:rPr>
                <w:rFonts w:hint="eastAsia"/>
              </w:rPr>
              <w:t>1. 具有生物学和食品专业背景；</w:t>
            </w:r>
          </w:p>
          <w:p>
            <w:pPr>
              <w:keepNext w:val="0"/>
              <w:keepLines w:val="0"/>
              <w:pageBreakBefore w:val="0"/>
              <w:widowControl/>
              <w:kinsoku/>
              <w:wordWrap/>
              <w:overflowPunct/>
              <w:topLinePunct w:val="0"/>
              <w:autoSpaceDE/>
              <w:autoSpaceDN/>
              <w:bidi w:val="0"/>
              <w:spacing w:line="240" w:lineRule="exact"/>
              <w:rPr>
                <w:rFonts w:hint="eastAsia"/>
              </w:rPr>
            </w:pPr>
            <w:r>
              <w:rPr>
                <w:rFonts w:hint="eastAsia"/>
              </w:rPr>
              <w:t>2. 具有培训学生所需的科研场所，仪器设备及科研经费；</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3. 原则上应具有副高以上职称。</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生物与医药领域</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5"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kern w:val="2"/>
                <w:sz w:val="20"/>
                <w:szCs w:val="20"/>
                <w:highlight w:val="none"/>
                <w:lang w:val="en-US" w:eastAsia="zh-CN" w:bidi="ar-SA"/>
              </w:rPr>
            </w:pPr>
            <w:r>
              <w:rPr>
                <w:rFonts w:hint="eastAsia" w:ascii="仿宋" w:hAnsi="仿宋" w:eastAsia="仿宋" w:cs="仿宋"/>
                <w:sz w:val="20"/>
                <w:szCs w:val="20"/>
                <w:highlight w:val="none"/>
                <w:lang w:val="en-US" w:eastAsia="zh-CN"/>
              </w:rPr>
              <w:t>4</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lang w:val="en-US" w:eastAsia="zh-CN"/>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农业专业类别硕士研究生导师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茶园管理、茶叶加工</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lang w:val="en-US" w:eastAsia="zh-CN"/>
              </w:rPr>
              <w:t>5</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参与高校学科团队建设，推动所在企业与高校联合开展</w:t>
            </w:r>
            <w:r>
              <w:rPr>
                <w:rFonts w:hint="eastAsia"/>
                <w:lang w:val="en-US" w:eastAsia="zh-CN"/>
              </w:rPr>
              <w:t>茶叶</w:t>
            </w:r>
            <w:r>
              <w:rPr>
                <w:rFonts w:hint="eastAsia"/>
              </w:rPr>
              <w:t>相关科研项目研究；承担高校科研成果中试放大和产业化基地建设，积极转化高科技创新成果，推动所在企业成为高校教学和实习基地，创造条件吸纳高校毕业生就业。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rPr>
            </w:pPr>
            <w:r>
              <w:rPr>
                <w:rFonts w:hint="eastAsia"/>
              </w:rPr>
              <w:t>1.具有农学专业背景；</w:t>
            </w:r>
          </w:p>
          <w:p>
            <w:pPr>
              <w:keepNext w:val="0"/>
              <w:keepLines w:val="0"/>
              <w:pageBreakBefore w:val="0"/>
              <w:widowControl/>
              <w:kinsoku/>
              <w:wordWrap/>
              <w:overflowPunct/>
              <w:topLinePunct w:val="0"/>
              <w:autoSpaceDE/>
              <w:autoSpaceDN/>
              <w:bidi w:val="0"/>
              <w:spacing w:line="240" w:lineRule="exact"/>
              <w:rPr>
                <w:rFonts w:hint="eastAsia"/>
                <w:lang w:eastAsia="zh-CN"/>
              </w:rPr>
            </w:pPr>
            <w:r>
              <w:rPr>
                <w:rFonts w:hint="eastAsia"/>
              </w:rPr>
              <w:t>2.具有培训学生所需的科研场所，仪器设备及科研经费</w:t>
            </w:r>
            <w:r>
              <w:rPr>
                <w:rFonts w:hint="eastAsia"/>
                <w:lang w:eastAsia="zh-CN"/>
              </w:rPr>
              <w:t>；</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3.原则上</w:t>
            </w:r>
            <w:r>
              <w:rPr>
                <w:rFonts w:hint="eastAsia"/>
              </w:rPr>
              <w:t>具有副高以上职称。</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农业专业类别硕士研究生导师</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5"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kern w:val="2"/>
                <w:sz w:val="20"/>
                <w:szCs w:val="20"/>
                <w:highlight w:val="none"/>
                <w:lang w:val="en-US" w:eastAsia="zh-CN" w:bidi="ar-SA"/>
              </w:rPr>
            </w:pPr>
            <w:r>
              <w:rPr>
                <w:rFonts w:hint="eastAsia" w:ascii="仿宋" w:hAnsi="仿宋" w:eastAsia="仿宋" w:cs="仿宋"/>
                <w:sz w:val="20"/>
                <w:szCs w:val="20"/>
                <w:highlight w:val="none"/>
                <w:lang w:val="en-US" w:eastAsia="zh-CN"/>
              </w:rPr>
              <w:t>5</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应用统计专业类别硕士研究生导师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大数据</w:t>
            </w:r>
            <w:r>
              <w:rPr>
                <w:rFonts w:hint="eastAsia"/>
                <w:lang w:val="en-US" w:eastAsia="zh-CN"/>
              </w:rPr>
              <w:t>统计分析</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rPr>
              <w:t>1</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参与高校学科团队建设，推动所在企业与高校联合开展</w:t>
            </w:r>
            <w:r>
              <w:rPr>
                <w:rFonts w:hint="eastAsia"/>
                <w:lang w:val="en-US" w:eastAsia="zh-CN"/>
              </w:rPr>
              <w:t>大数据</w:t>
            </w:r>
            <w:r>
              <w:rPr>
                <w:rFonts w:hint="eastAsia"/>
              </w:rPr>
              <w:t>相关科研项目研究；承担高校科研成果中试放大和产业化基地建设，积极转化高科技创新成果，推动所在企业成为高校教学和实习基地，创造条件吸纳高校毕业生就业。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rPr>
            </w:pPr>
            <w:r>
              <w:rPr>
                <w:rFonts w:hint="eastAsia"/>
              </w:rPr>
              <w:t>1. 具有</w:t>
            </w:r>
            <w:r>
              <w:rPr>
                <w:rFonts w:hint="eastAsia"/>
                <w:lang w:val="en-US" w:eastAsia="zh-CN"/>
              </w:rPr>
              <w:t>数</w:t>
            </w:r>
            <w:r>
              <w:rPr>
                <w:rFonts w:hint="eastAsia"/>
              </w:rPr>
              <w:t>学</w:t>
            </w:r>
            <w:r>
              <w:rPr>
                <w:rFonts w:hint="eastAsia"/>
                <w:lang w:val="en-US" w:eastAsia="zh-CN"/>
              </w:rPr>
              <w:t>或统计学</w:t>
            </w:r>
            <w:r>
              <w:rPr>
                <w:rFonts w:hint="eastAsia"/>
              </w:rPr>
              <w:t>专业背景；</w:t>
            </w:r>
          </w:p>
          <w:p>
            <w:pPr>
              <w:keepNext w:val="0"/>
              <w:keepLines w:val="0"/>
              <w:pageBreakBefore w:val="0"/>
              <w:widowControl/>
              <w:kinsoku/>
              <w:wordWrap/>
              <w:overflowPunct/>
              <w:topLinePunct w:val="0"/>
              <w:autoSpaceDE/>
              <w:autoSpaceDN/>
              <w:bidi w:val="0"/>
              <w:spacing w:line="240" w:lineRule="exact"/>
              <w:rPr>
                <w:rFonts w:hint="eastAsia"/>
              </w:rPr>
            </w:pPr>
            <w:r>
              <w:rPr>
                <w:rFonts w:hint="eastAsia"/>
              </w:rPr>
              <w:t>2. 具有培训学生所需的科研场所，仪器设备及科研经费；</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3. 原则上应具有副高以上职称。</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应用统计领域</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5"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kern w:val="2"/>
                <w:sz w:val="20"/>
                <w:szCs w:val="20"/>
                <w:highlight w:val="none"/>
                <w:lang w:val="en-US" w:eastAsia="zh-CN" w:bidi="ar-SA"/>
              </w:rPr>
            </w:pPr>
            <w:r>
              <w:rPr>
                <w:rFonts w:hint="eastAsia" w:ascii="仿宋" w:hAnsi="仿宋" w:eastAsia="仿宋" w:cs="仿宋"/>
                <w:sz w:val="20"/>
                <w:szCs w:val="20"/>
                <w:highlight w:val="none"/>
                <w:lang w:val="en-US" w:eastAsia="zh-CN"/>
              </w:rPr>
              <w:t>6</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体育专业类别硕士研究生导师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户外体育</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rPr>
              <w:t>1</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参与高校学科团队建设，推动所在企业与高校联合开展</w:t>
            </w:r>
            <w:r>
              <w:rPr>
                <w:rFonts w:hint="eastAsia"/>
                <w:lang w:val="en-US" w:eastAsia="zh-CN"/>
              </w:rPr>
              <w:t>体育</w:t>
            </w:r>
            <w:r>
              <w:rPr>
                <w:rFonts w:hint="eastAsia"/>
              </w:rPr>
              <w:t>相关科研项目研究；承担高校科研成果中试放大和产业化基地建设，积极转化高科技创新成果，推动所在企业成为高校教学和实习基地，创造条件吸纳高校毕业生就业。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rPr>
            </w:pPr>
            <w:r>
              <w:rPr>
                <w:rFonts w:hint="eastAsia"/>
              </w:rPr>
              <w:t>1. 具有</w:t>
            </w:r>
            <w:r>
              <w:rPr>
                <w:rFonts w:hint="eastAsia"/>
                <w:lang w:val="en-US" w:eastAsia="zh-CN"/>
              </w:rPr>
              <w:t>体育或管理</w:t>
            </w:r>
            <w:r>
              <w:rPr>
                <w:rFonts w:hint="eastAsia"/>
              </w:rPr>
              <w:t>专业背景；</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2. 具有培训学生所需的科研场所，仪器设备及科研经费。</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体育领域</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5"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kern w:val="2"/>
                <w:sz w:val="20"/>
                <w:szCs w:val="20"/>
                <w:highlight w:val="none"/>
                <w:lang w:val="en-US" w:eastAsia="zh-CN" w:bidi="ar-SA"/>
              </w:rPr>
            </w:pPr>
            <w:r>
              <w:rPr>
                <w:rFonts w:hint="eastAsia" w:ascii="仿宋" w:hAnsi="仿宋" w:eastAsia="仿宋" w:cs="仿宋"/>
                <w:sz w:val="20"/>
                <w:szCs w:val="20"/>
                <w:highlight w:val="none"/>
                <w:lang w:val="en-US" w:eastAsia="zh-CN"/>
              </w:rPr>
              <w:t>7</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土木水利专业类别硕士研究生导师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土木水利设计勘察</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lang w:val="en-US" w:eastAsia="zh-CN"/>
              </w:rPr>
              <w:t>3</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参与高校学科团队建设，推动所在企业与高校联合开展</w:t>
            </w:r>
            <w:r>
              <w:rPr>
                <w:rFonts w:hint="eastAsia"/>
                <w:lang w:val="en-US" w:eastAsia="zh-CN"/>
              </w:rPr>
              <w:t>土木水利</w:t>
            </w:r>
            <w:r>
              <w:rPr>
                <w:rFonts w:hint="eastAsia"/>
              </w:rPr>
              <w:t>相关科研项目研究；承担高校科研成果中试放大和产业化基地建设，积极转化高科技创新成果，推动所在企业成为高校教学和实习基地，创造条件吸纳高校毕业生就业。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rPr>
            </w:pPr>
            <w:r>
              <w:rPr>
                <w:rFonts w:hint="eastAsia"/>
              </w:rPr>
              <w:t>1. 具有</w:t>
            </w:r>
            <w:r>
              <w:rPr>
                <w:rFonts w:hint="eastAsia"/>
                <w:lang w:val="en-US" w:eastAsia="zh-CN"/>
              </w:rPr>
              <w:t>土木工程、土木水利</w:t>
            </w:r>
            <w:r>
              <w:rPr>
                <w:rFonts w:hint="eastAsia"/>
              </w:rPr>
              <w:t>专业背景；</w:t>
            </w:r>
          </w:p>
          <w:p>
            <w:pPr>
              <w:keepNext w:val="0"/>
              <w:keepLines w:val="0"/>
              <w:pageBreakBefore w:val="0"/>
              <w:widowControl/>
              <w:kinsoku/>
              <w:wordWrap/>
              <w:overflowPunct/>
              <w:topLinePunct w:val="0"/>
              <w:autoSpaceDE/>
              <w:autoSpaceDN/>
              <w:bidi w:val="0"/>
              <w:spacing w:line="240" w:lineRule="exact"/>
              <w:rPr>
                <w:rFonts w:hint="eastAsia"/>
              </w:rPr>
            </w:pPr>
            <w:r>
              <w:rPr>
                <w:rFonts w:hint="eastAsia"/>
              </w:rPr>
              <w:t>2. 具有培训学生所需的科研场所，仪器设备及科研经费；</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3. 原则上应具有副高以上职称。</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土木水利领域</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5"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kern w:val="2"/>
                <w:sz w:val="20"/>
                <w:szCs w:val="20"/>
                <w:highlight w:val="none"/>
                <w:lang w:val="en-US" w:eastAsia="zh-CN" w:bidi="ar-SA"/>
              </w:rPr>
            </w:pPr>
            <w:r>
              <w:rPr>
                <w:rFonts w:hint="eastAsia" w:ascii="仿宋" w:hAnsi="仿宋" w:eastAsia="仿宋" w:cs="仿宋"/>
                <w:sz w:val="20"/>
                <w:szCs w:val="20"/>
                <w:highlight w:val="none"/>
                <w:lang w:val="en-US" w:eastAsia="zh-CN"/>
              </w:rPr>
              <w:t>8</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土木水利专业类别硕士研究生导师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土木水利设计勘察</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lang w:val="en-US" w:eastAsia="zh-CN"/>
              </w:rPr>
              <w:t>2</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参与高校学科团队建设，推动所在企业与高校联合开展</w:t>
            </w:r>
            <w:r>
              <w:rPr>
                <w:rFonts w:hint="eastAsia"/>
                <w:lang w:val="en-US" w:eastAsia="zh-CN"/>
              </w:rPr>
              <w:t>土木水利</w:t>
            </w:r>
            <w:r>
              <w:rPr>
                <w:rFonts w:hint="eastAsia"/>
              </w:rPr>
              <w:t>相关科研项目研究；承担高校科研成果中试放大和产业化基地建设，积极转化高科技创新成果，推动所在企业成为高校教学和实习基地，创造条件吸纳高校毕业生就业。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rPr>
            </w:pPr>
            <w:r>
              <w:rPr>
                <w:rFonts w:hint="eastAsia"/>
              </w:rPr>
              <w:t>1. 具有</w:t>
            </w:r>
            <w:r>
              <w:rPr>
                <w:rFonts w:hint="eastAsia"/>
                <w:lang w:val="en-US" w:eastAsia="zh-CN"/>
              </w:rPr>
              <w:t>土木工程、土木水利</w:t>
            </w:r>
            <w:r>
              <w:rPr>
                <w:rFonts w:hint="eastAsia"/>
              </w:rPr>
              <w:t>专业背景；</w:t>
            </w:r>
          </w:p>
          <w:p>
            <w:pPr>
              <w:keepNext w:val="0"/>
              <w:keepLines w:val="0"/>
              <w:pageBreakBefore w:val="0"/>
              <w:widowControl/>
              <w:kinsoku/>
              <w:wordWrap/>
              <w:overflowPunct/>
              <w:topLinePunct w:val="0"/>
              <w:autoSpaceDE/>
              <w:autoSpaceDN/>
              <w:bidi w:val="0"/>
              <w:spacing w:line="240" w:lineRule="exact"/>
              <w:rPr>
                <w:rFonts w:hint="eastAsia"/>
              </w:rPr>
            </w:pPr>
            <w:r>
              <w:rPr>
                <w:rFonts w:hint="eastAsia"/>
              </w:rPr>
              <w:t>2. 具有培训学生所需的科研场所，仪器设备及科研经费；</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3. 原则上应具有副高以上职称。</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土木水利领域</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5"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kern w:val="2"/>
                <w:sz w:val="20"/>
                <w:szCs w:val="20"/>
                <w:highlight w:val="none"/>
                <w:lang w:val="en-US" w:eastAsia="zh-CN" w:bidi="ar-SA"/>
              </w:rPr>
            </w:pPr>
            <w:r>
              <w:rPr>
                <w:rFonts w:hint="eastAsia" w:ascii="仿宋" w:hAnsi="仿宋" w:eastAsia="仿宋" w:cs="仿宋"/>
                <w:sz w:val="20"/>
                <w:szCs w:val="20"/>
                <w:highlight w:val="none"/>
                <w:lang w:val="en-US" w:eastAsia="zh-CN"/>
              </w:rPr>
              <w:t>9</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机械专业类别硕士研究生导师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机械制造、设计</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rPr>
              <w:t>4</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参与高校学科团队建设，推动所在企业与高校联合开展</w:t>
            </w:r>
            <w:r>
              <w:rPr>
                <w:rFonts w:hint="eastAsia"/>
                <w:lang w:val="en-US" w:eastAsia="zh-CN"/>
              </w:rPr>
              <w:t>机械工程</w:t>
            </w:r>
            <w:r>
              <w:rPr>
                <w:rFonts w:hint="eastAsia"/>
              </w:rPr>
              <w:t>相关科研项目研究；承担高校科研成果中试放大和产业化基地建设，积极转化高科技创新成果，推动所在企业成为高校教学和实习基地，创造条件吸纳高校毕业生就业。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1. 具有</w:t>
            </w:r>
            <w:r>
              <w:rPr>
                <w:rFonts w:hint="eastAsia"/>
                <w:lang w:val="en-US" w:eastAsia="zh-CN"/>
              </w:rPr>
              <w:t>机械工程</w:t>
            </w:r>
            <w:r>
              <w:rPr>
                <w:rFonts w:hint="eastAsia"/>
              </w:rPr>
              <w:t>专业背景；2. 具有培训学生所需的科研场所，仪器设备及科研经费；3. 原则上应具有副高以上职称。</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机械领域</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5"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kern w:val="2"/>
                <w:sz w:val="20"/>
                <w:szCs w:val="20"/>
                <w:highlight w:val="none"/>
                <w:lang w:val="en-US" w:eastAsia="zh-CN" w:bidi="ar-SA"/>
              </w:rPr>
            </w:pPr>
            <w:r>
              <w:rPr>
                <w:rFonts w:hint="eastAsia" w:ascii="仿宋" w:hAnsi="仿宋" w:eastAsia="仿宋" w:cs="仿宋"/>
                <w:sz w:val="20"/>
                <w:szCs w:val="20"/>
                <w:highlight w:val="none"/>
                <w:lang w:val="en-US" w:eastAsia="zh-CN"/>
              </w:rPr>
              <w:t>10</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农业</w:t>
            </w:r>
            <w:r>
              <w:rPr>
                <w:rFonts w:hint="eastAsia"/>
              </w:rPr>
              <w:t>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农艺与种业、畜牧</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lang w:val="en-US" w:eastAsia="zh-CN"/>
              </w:rPr>
              <w:t>2</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参与高校学科团队建设，推动所在企业与高校联合开展</w:t>
            </w:r>
            <w:r>
              <w:rPr>
                <w:rFonts w:hint="eastAsia"/>
                <w:lang w:val="en-US" w:eastAsia="zh-CN"/>
              </w:rPr>
              <w:t>农艺与种业、畜牧</w:t>
            </w:r>
            <w:r>
              <w:rPr>
                <w:rFonts w:hint="eastAsia"/>
              </w:rPr>
              <w:t>相关科研项目研究；承担高校科研成果中试放大和产业化基地建设，积极转化高科技创新成果，推动所在企业成为高校教学和实习基地，创造条件吸纳高校毕业生就业。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rPr>
            </w:pPr>
            <w:r>
              <w:rPr>
                <w:rFonts w:hint="eastAsia"/>
              </w:rPr>
              <w:t>1. 具有</w:t>
            </w:r>
            <w:r>
              <w:rPr>
                <w:rFonts w:hint="eastAsia"/>
                <w:lang w:val="en-US" w:eastAsia="zh-CN"/>
              </w:rPr>
              <w:t>农艺与种业、畜牧</w:t>
            </w:r>
            <w:r>
              <w:rPr>
                <w:rFonts w:hint="eastAsia"/>
              </w:rPr>
              <w:t>专业背景；</w:t>
            </w:r>
          </w:p>
          <w:p>
            <w:pPr>
              <w:keepNext w:val="0"/>
              <w:keepLines w:val="0"/>
              <w:pageBreakBefore w:val="0"/>
              <w:widowControl/>
              <w:kinsoku/>
              <w:wordWrap/>
              <w:overflowPunct/>
              <w:topLinePunct w:val="0"/>
              <w:autoSpaceDE/>
              <w:autoSpaceDN/>
              <w:bidi w:val="0"/>
              <w:spacing w:line="240" w:lineRule="exact"/>
              <w:rPr>
                <w:rFonts w:hint="eastAsia"/>
              </w:rPr>
            </w:pPr>
            <w:r>
              <w:rPr>
                <w:rFonts w:hint="eastAsia"/>
              </w:rPr>
              <w:t>2. 具有培训学生所需的科研场所，仪器设备及科研经费；</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3. 原则上应具有副高以上职称。</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农艺与种业、畜牧领域</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5"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kern w:val="2"/>
                <w:sz w:val="20"/>
                <w:szCs w:val="20"/>
                <w:highlight w:val="none"/>
                <w:lang w:val="en-US" w:eastAsia="zh-CN" w:bidi="ar-SA"/>
              </w:rPr>
            </w:pPr>
            <w:r>
              <w:rPr>
                <w:rFonts w:hint="eastAsia" w:ascii="仿宋" w:hAnsi="仿宋" w:eastAsia="仿宋" w:cs="仿宋"/>
                <w:sz w:val="20"/>
                <w:szCs w:val="20"/>
                <w:highlight w:val="none"/>
                <w:lang w:val="en-US" w:eastAsia="zh-CN"/>
              </w:rPr>
              <w:t>11</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林业专业类别硕士研究生导师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林业</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rPr>
              <w:t>1</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参与高校学科团队建设，推动所在企业与高校联合开展</w:t>
            </w:r>
            <w:r>
              <w:rPr>
                <w:rFonts w:hint="eastAsia"/>
                <w:lang w:val="en-US" w:eastAsia="zh-CN"/>
              </w:rPr>
              <w:t>林业</w:t>
            </w:r>
            <w:r>
              <w:rPr>
                <w:rFonts w:hint="eastAsia"/>
              </w:rPr>
              <w:t>相关科研项目研究；承担高校科研成果中试放大和产业化基地建设，积极转化高科技创新成果，推动所在企业成为高校教学和实习基地，创造条件吸纳高校毕业生就业。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rPr>
            </w:pPr>
            <w:r>
              <w:rPr>
                <w:rFonts w:hint="eastAsia"/>
              </w:rPr>
              <w:t>1. 具有</w:t>
            </w:r>
            <w:r>
              <w:rPr>
                <w:rFonts w:hint="eastAsia"/>
                <w:lang w:val="en-US" w:eastAsia="zh-CN"/>
              </w:rPr>
              <w:t>林</w:t>
            </w:r>
            <w:r>
              <w:rPr>
                <w:rFonts w:hint="eastAsia"/>
              </w:rPr>
              <w:t>学专业背景；</w:t>
            </w:r>
          </w:p>
          <w:p>
            <w:pPr>
              <w:keepNext w:val="0"/>
              <w:keepLines w:val="0"/>
              <w:pageBreakBefore w:val="0"/>
              <w:widowControl/>
              <w:kinsoku/>
              <w:wordWrap/>
              <w:overflowPunct/>
              <w:topLinePunct w:val="0"/>
              <w:autoSpaceDE/>
              <w:autoSpaceDN/>
              <w:bidi w:val="0"/>
              <w:spacing w:line="240" w:lineRule="exact"/>
              <w:rPr>
                <w:rFonts w:hint="eastAsia"/>
              </w:rPr>
            </w:pPr>
            <w:r>
              <w:rPr>
                <w:rFonts w:hint="eastAsia"/>
              </w:rPr>
              <w:t>2. 具有培训学生所需的科研场所，仪器设备及科研经费；</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3. 原则上应具有副高以上职称。</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林业领域</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5"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kern w:val="2"/>
                <w:sz w:val="20"/>
                <w:szCs w:val="20"/>
                <w:highlight w:val="none"/>
                <w:lang w:val="en-US" w:eastAsia="zh-CN" w:bidi="ar-SA"/>
              </w:rPr>
            </w:pPr>
            <w:r>
              <w:rPr>
                <w:rFonts w:hint="eastAsia" w:ascii="仿宋" w:hAnsi="仿宋" w:eastAsia="仿宋" w:cs="仿宋"/>
                <w:sz w:val="20"/>
                <w:szCs w:val="20"/>
                <w:highlight w:val="none"/>
                <w:lang w:val="en-US" w:eastAsia="zh-CN"/>
              </w:rPr>
              <w:t>12</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农业</w:t>
            </w:r>
            <w:r>
              <w:rPr>
                <w:rFonts w:hint="eastAsia"/>
              </w:rPr>
              <w:t>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园艺植物种植、栽培（食用菌等）、育种及加工（食用菌等）、植物保护</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lang w:val="en-US" w:eastAsia="zh-CN"/>
              </w:rPr>
              <w:t>4</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推动所在企业与高校联合开展农艺与种业、植物保护与资源相关科研项目研究；承担高校科研成果中试放大和产业化基地建设，积极转化高科技创新成果，推动所在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rPr>
            </w:pPr>
            <w:r>
              <w:rPr>
                <w:rFonts w:hint="eastAsia"/>
              </w:rPr>
              <w:t>1. 具有农艺与种业、植物保护与资源背景；</w:t>
            </w:r>
          </w:p>
          <w:p>
            <w:pPr>
              <w:keepNext w:val="0"/>
              <w:keepLines w:val="0"/>
              <w:pageBreakBefore w:val="0"/>
              <w:widowControl/>
              <w:kinsoku/>
              <w:wordWrap/>
              <w:overflowPunct/>
              <w:topLinePunct w:val="0"/>
              <w:autoSpaceDE/>
              <w:autoSpaceDN/>
              <w:bidi w:val="0"/>
              <w:spacing w:line="240" w:lineRule="exact"/>
              <w:rPr>
                <w:rFonts w:hint="eastAsia"/>
              </w:rPr>
            </w:pPr>
            <w:r>
              <w:rPr>
                <w:rFonts w:hint="eastAsia"/>
              </w:rPr>
              <w:t>2. 具有培训学生所需的科研场所，仪器设备及科研经费；</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3. 原则上应具有副高以上职称。</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农艺与种业、植物保护与资源利用领域</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9"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kern w:val="2"/>
                <w:sz w:val="20"/>
                <w:szCs w:val="20"/>
                <w:highlight w:val="none"/>
                <w:lang w:val="en-US" w:eastAsia="zh-CN" w:bidi="ar-SA"/>
              </w:rPr>
            </w:pPr>
            <w:r>
              <w:rPr>
                <w:rFonts w:hint="eastAsia" w:ascii="仿宋" w:hAnsi="仿宋" w:eastAsia="仿宋" w:cs="仿宋"/>
                <w:sz w:val="20"/>
                <w:szCs w:val="20"/>
                <w:highlight w:val="none"/>
                <w:lang w:val="en-US" w:eastAsia="zh-CN"/>
              </w:rPr>
              <w:t>13</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资源与环境专业类别硕士研究生导师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矿业工程、安全工程、测绘工程等</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lang w:val="en-US" w:eastAsia="zh-CN"/>
              </w:rPr>
              <w:t>4</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该专业硕士研究生实践/创新、毕业论文等的联合指导工作；承担部分实践/工程类课程的教学与学术报告；参与学科团队建设，推动所在企业与高校联合开展资源与环境类相关科研项目研究；承担高校科研成果中试放大和产业化基地建设，积极转化高科技创新成果，推动所在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rPr>
            </w:pPr>
            <w:r>
              <w:rPr>
                <w:rFonts w:hint="eastAsia"/>
              </w:rPr>
              <w:t>1</w:t>
            </w:r>
            <w:r>
              <w:rPr>
                <w:rFonts w:hint="eastAsia"/>
                <w:lang w:val="en-US" w:eastAsia="zh-CN"/>
              </w:rPr>
              <w:t>.</w:t>
            </w:r>
            <w:r>
              <w:rPr>
                <w:rFonts w:hint="eastAsia"/>
              </w:rPr>
              <w:t>具有资源与环境类工科背景，具有副高级以上相关专业技术职称；</w:t>
            </w:r>
          </w:p>
          <w:p>
            <w:pPr>
              <w:keepNext w:val="0"/>
              <w:keepLines w:val="0"/>
              <w:pageBreakBefore w:val="0"/>
              <w:widowControl/>
              <w:kinsoku/>
              <w:wordWrap/>
              <w:overflowPunct/>
              <w:topLinePunct w:val="0"/>
              <w:autoSpaceDE/>
              <w:autoSpaceDN/>
              <w:bidi w:val="0"/>
              <w:spacing w:line="240" w:lineRule="exact"/>
              <w:rPr>
                <w:rFonts w:hint="eastAsia"/>
              </w:rPr>
            </w:pPr>
            <w:r>
              <w:rPr>
                <w:rFonts w:hint="eastAsia"/>
              </w:rPr>
              <w:t>2</w:t>
            </w:r>
            <w:r>
              <w:rPr>
                <w:rFonts w:hint="eastAsia"/>
                <w:lang w:val="en-US" w:eastAsia="zh-CN"/>
              </w:rPr>
              <w:t>.</w:t>
            </w:r>
            <w:r>
              <w:rPr>
                <w:rFonts w:hint="eastAsia"/>
              </w:rPr>
              <w:t>具有长期从事资源与环境领域相关方向工程实践经验（具有职业资格证书或具备相应行业工作经验或承担过工程技术类课题）；</w:t>
            </w:r>
          </w:p>
          <w:p>
            <w:pPr>
              <w:keepNext w:val="0"/>
              <w:keepLines w:val="0"/>
              <w:pageBreakBefore w:val="0"/>
              <w:widowControl/>
              <w:kinsoku/>
              <w:wordWrap/>
              <w:overflowPunct/>
              <w:topLinePunct w:val="0"/>
              <w:autoSpaceDE/>
              <w:autoSpaceDN/>
              <w:bidi w:val="0"/>
              <w:spacing w:line="240" w:lineRule="exact"/>
              <w:rPr>
                <w:rFonts w:hint="eastAsia"/>
              </w:rPr>
            </w:pPr>
            <w:r>
              <w:rPr>
                <w:rFonts w:hint="eastAsia"/>
              </w:rPr>
              <w:t>3</w:t>
            </w:r>
            <w:r>
              <w:rPr>
                <w:rFonts w:hint="eastAsia"/>
                <w:lang w:val="en-US" w:eastAsia="zh-CN"/>
              </w:rPr>
              <w:t>.</w:t>
            </w:r>
            <w:r>
              <w:rPr>
                <w:rFonts w:hint="eastAsia"/>
              </w:rPr>
              <w:t>具有培训学生所需的科研场所，仪器设备及科研经费；</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4</w:t>
            </w:r>
            <w:r>
              <w:rPr>
                <w:rFonts w:hint="eastAsia"/>
                <w:lang w:val="en-US" w:eastAsia="zh-CN"/>
              </w:rPr>
              <w:t>.</w:t>
            </w:r>
            <w:r>
              <w:rPr>
                <w:rFonts w:hint="eastAsia"/>
              </w:rPr>
              <w:t>能够承担资源与环境领域相关方向研究生实践/创新类课程的教学和学术报告等内容。</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矿业工程、安全工程、测绘工程</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03"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kern w:val="2"/>
                <w:sz w:val="20"/>
                <w:szCs w:val="20"/>
                <w:highlight w:val="none"/>
                <w:lang w:val="en-US" w:eastAsia="zh-CN" w:bidi="ar-SA"/>
              </w:rPr>
            </w:pPr>
            <w:r>
              <w:rPr>
                <w:rFonts w:hint="eastAsia" w:ascii="仿宋" w:hAnsi="仿宋" w:eastAsia="仿宋" w:cs="仿宋"/>
                <w:sz w:val="20"/>
                <w:szCs w:val="20"/>
                <w:highlight w:val="none"/>
                <w:lang w:val="en-US" w:eastAsia="zh-CN"/>
              </w:rPr>
              <w:t>14</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材料与化工</w:t>
            </w:r>
            <w:r>
              <w:rPr>
                <w:rFonts w:hint="eastAsia"/>
              </w:rPr>
              <w:t>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材料工程、冶金工程等</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lang w:val="en-US" w:eastAsia="zh-CN"/>
              </w:rPr>
              <w:t>2</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推动所在企业与高校联合开展研究方向相关科研项目研究与申请；承担高校科研成果中试放大和产业化基地建设，积极转化高科技创新成果，推动所在企业成为高校教学和实习基地，创造条件吸纳高校毕业生就业；参与专业研究生教学。</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rPr>
            </w:pPr>
            <w:r>
              <w:rPr>
                <w:rFonts w:hint="eastAsia"/>
              </w:rPr>
              <w:t>1.材料相关专业背景；</w:t>
            </w:r>
          </w:p>
          <w:p>
            <w:pPr>
              <w:keepNext w:val="0"/>
              <w:keepLines w:val="0"/>
              <w:pageBreakBefore w:val="0"/>
              <w:widowControl/>
              <w:kinsoku/>
              <w:wordWrap/>
              <w:overflowPunct/>
              <w:topLinePunct w:val="0"/>
              <w:autoSpaceDE/>
              <w:autoSpaceDN/>
              <w:bidi w:val="0"/>
              <w:spacing w:line="240" w:lineRule="exact"/>
              <w:rPr>
                <w:rFonts w:hint="eastAsia"/>
              </w:rPr>
            </w:pPr>
            <w:r>
              <w:rPr>
                <w:rFonts w:hint="eastAsia"/>
              </w:rPr>
              <w:t>2. 具有培训学生所需的科研场所，仪器设备及科研经费；</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3. 原则上应具有副高以上职称</w:t>
            </w:r>
            <w:r>
              <w:rPr>
                <w:rFonts w:hint="eastAsia"/>
                <w:lang w:eastAsia="zh-CN"/>
              </w:rPr>
              <w:t>。</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材料工程、冶金工程</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5"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kern w:val="2"/>
                <w:sz w:val="20"/>
                <w:szCs w:val="20"/>
                <w:highlight w:val="none"/>
                <w:lang w:val="en-US" w:eastAsia="zh-CN" w:bidi="ar-SA"/>
              </w:rPr>
            </w:pPr>
            <w:r>
              <w:rPr>
                <w:rFonts w:hint="eastAsia" w:ascii="仿宋" w:hAnsi="仿宋" w:eastAsia="仿宋" w:cs="仿宋"/>
                <w:sz w:val="20"/>
                <w:szCs w:val="20"/>
                <w:highlight w:val="none"/>
                <w:lang w:val="en-US" w:eastAsia="zh-CN"/>
              </w:rPr>
              <w:t>15</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能源动力专业类别硕士研究生导师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电气工程</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rPr>
              <w:t>2</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推动所在企业或相关企业与高校联合开展电气工程相关科研项目研究；承担或参与高校科研成果中试和产业化基地建设，积极转化高科技创新成果，推动所在企业或相关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eastAsia="zh-CN"/>
              </w:rPr>
            </w:pPr>
            <w:r>
              <w:rPr>
                <w:rFonts w:hint="eastAsia"/>
                <w:lang w:val="en-US" w:eastAsia="zh-CN"/>
              </w:rPr>
              <w:t>1.</w:t>
            </w:r>
            <w:r>
              <w:rPr>
                <w:rFonts w:hint="eastAsia"/>
              </w:rPr>
              <w:t>具有电气工程专业（含电机与电器，电力系统及其自动化，电力电子与电力传动，高电压与绝缘技术，电工理论与新技术等）背景</w:t>
            </w:r>
            <w:r>
              <w:rPr>
                <w:rFonts w:hint="eastAsia"/>
                <w:lang w:eastAsia="zh-CN"/>
              </w:rPr>
              <w:t>；</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2.</w:t>
            </w:r>
            <w:r>
              <w:rPr>
                <w:rFonts w:hint="eastAsia"/>
              </w:rPr>
              <w:t>有高级工程师以上职称或博士学位</w:t>
            </w:r>
            <w:r>
              <w:rPr>
                <w:rFonts w:hint="eastAsia"/>
                <w:lang w:eastAsia="zh-CN"/>
              </w:rPr>
              <w:t>。</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能源动力</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5"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sz w:val="20"/>
                <w:szCs w:val="20"/>
                <w:highlight w:val="none"/>
                <w:lang w:val="en-US" w:eastAsia="zh-CN"/>
              </w:rPr>
            </w:pPr>
            <w:r>
              <w:rPr>
                <w:rFonts w:hint="eastAsia" w:ascii="仿宋" w:hAnsi="仿宋" w:eastAsia="仿宋" w:cs="仿宋"/>
                <w:sz w:val="20"/>
                <w:szCs w:val="20"/>
                <w:highlight w:val="none"/>
                <w:lang w:val="en-US" w:eastAsia="zh-CN"/>
              </w:rPr>
              <w:t>16</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lang w:val="en-US" w:eastAsia="zh-CN"/>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电子信息</w:t>
            </w:r>
            <w:r>
              <w:rPr>
                <w:rFonts w:hint="eastAsia"/>
              </w:rPr>
              <w:t>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大数据、人工智能、天文/医学图像处理等</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lang w:val="en-US" w:eastAsia="zh-CN"/>
              </w:rPr>
              <w:t>1</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参与高校学科团队建设，推动所在企业与高校联合开展</w:t>
            </w:r>
            <w:r>
              <w:rPr>
                <w:rFonts w:hint="eastAsia"/>
                <w:lang w:val="en-US" w:eastAsia="zh-CN"/>
              </w:rPr>
              <w:t>电子信息</w:t>
            </w:r>
            <w:r>
              <w:rPr>
                <w:rFonts w:hint="eastAsia"/>
              </w:rPr>
              <w:t>相关科研项目研究；承担高校科研成果中试放大和产业化基地建设，积极转化高科技创新成果，推动所在企业成为高校教学和实习基地，创造条件吸纳高校毕业生就业。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rPr>
            </w:pPr>
            <w:r>
              <w:rPr>
                <w:rFonts w:hint="eastAsia"/>
              </w:rPr>
              <w:t>1.具有计算机应用技术，或者图像处理专业背景，或通信相关专业背景；</w:t>
            </w:r>
          </w:p>
          <w:p>
            <w:pPr>
              <w:keepNext w:val="0"/>
              <w:keepLines w:val="0"/>
              <w:pageBreakBefore w:val="0"/>
              <w:widowControl/>
              <w:kinsoku/>
              <w:wordWrap/>
              <w:overflowPunct/>
              <w:topLinePunct w:val="0"/>
              <w:autoSpaceDE/>
              <w:autoSpaceDN/>
              <w:bidi w:val="0"/>
              <w:spacing w:line="240" w:lineRule="exact"/>
              <w:rPr>
                <w:rFonts w:hint="eastAsia"/>
                <w:lang w:eastAsia="zh-CN"/>
              </w:rPr>
            </w:pPr>
            <w:r>
              <w:rPr>
                <w:rFonts w:hint="eastAsia"/>
              </w:rPr>
              <w:t>2.具有培训学生所需的科研场所，仪器设备及科研经费</w:t>
            </w:r>
            <w:r>
              <w:rPr>
                <w:rFonts w:hint="eastAsia"/>
                <w:lang w:eastAsia="zh-CN"/>
              </w:rPr>
              <w:t>；</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3. 原则上应具有副高以上职称</w:t>
            </w:r>
            <w:r>
              <w:rPr>
                <w:rFonts w:hint="eastAsia"/>
                <w:lang w:eastAsia="zh-CN"/>
              </w:rPr>
              <w:t>。</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通信工程</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8"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sz w:val="20"/>
                <w:szCs w:val="20"/>
                <w:highlight w:val="none"/>
                <w:lang w:val="en-US" w:eastAsia="zh-CN"/>
              </w:rPr>
            </w:pPr>
            <w:r>
              <w:rPr>
                <w:rFonts w:hint="eastAsia" w:ascii="仿宋" w:hAnsi="仿宋" w:eastAsia="仿宋" w:cs="仿宋"/>
                <w:sz w:val="20"/>
                <w:szCs w:val="20"/>
                <w:highlight w:val="none"/>
                <w:lang w:val="en-US" w:eastAsia="zh-CN"/>
              </w:rPr>
              <w:t>17</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lang w:val="en-US" w:eastAsia="zh-CN"/>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电子信息</w:t>
            </w:r>
            <w:r>
              <w:rPr>
                <w:rFonts w:hint="eastAsia"/>
              </w:rPr>
              <w:t>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大数据，软件工程，人工智能，云计算，网络安全，互联网应用，工业互联网，物联网，计算机控制，嵌入式软件开发，数据库，电子政务，电子商务</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lang w:val="en-US" w:eastAsia="zh-CN"/>
              </w:rPr>
              <w:t>5</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和人才培养，推动所在企业与高校联合开展软硬件系统开发、互联网应用、云计算技术、大数据技术及人工智能应用等相关科研项目研究；承担高校科研成果中试放大和产业化基地建设，积极转化高科技创新成果，推动所在企业成为高校教学和实习基地，创造条件吸纳高校毕业生实训、实习和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具有计算机，软件工程，网络安全，大数据，人工智能，互联网专业背景。</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计算机技术、软件工程专业类别</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6"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sz w:val="20"/>
                <w:szCs w:val="20"/>
                <w:highlight w:val="none"/>
                <w:lang w:val="en-US" w:eastAsia="zh-CN"/>
              </w:rPr>
            </w:pPr>
            <w:r>
              <w:rPr>
                <w:rFonts w:hint="eastAsia" w:ascii="仿宋" w:hAnsi="仿宋" w:eastAsia="仿宋" w:cs="仿宋"/>
                <w:sz w:val="20"/>
                <w:szCs w:val="20"/>
                <w:highlight w:val="none"/>
                <w:lang w:val="en-US" w:eastAsia="zh-CN"/>
              </w:rPr>
              <w:t>18</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材料与化工专业类别硕士研究生导师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能源化工、资源化工、精细化工、化工新材料、能源材料、催化材料、新型建材、功能材料、固废资源化等</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lang w:val="en-US" w:eastAsia="zh-CN"/>
              </w:rPr>
              <w:t>8</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该专业硕士研究生选题、实践、创新等毕业论文的联合指导工作，承担部分实践/工程类课程的教学与学术报告；积极参与学科团队建设，推动所在企业与高校联合开展材料与化工类相关科研项目研究，承担高校科研成果中试放大和产业化基地建设，积极转化高科技创新成果，推动所在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eastAsia="zh-CN"/>
              </w:rPr>
            </w:pPr>
            <w:r>
              <w:rPr>
                <w:rFonts w:hint="eastAsia"/>
                <w:lang w:val="en-US" w:eastAsia="zh-CN"/>
              </w:rPr>
              <w:t>1.</w:t>
            </w:r>
            <w:r>
              <w:rPr>
                <w:rFonts w:hint="eastAsia"/>
              </w:rPr>
              <w:t>具有材料与化工类工科背景</w:t>
            </w:r>
            <w:r>
              <w:rPr>
                <w:rFonts w:hint="eastAsia"/>
                <w:lang w:eastAsia="zh-CN"/>
              </w:rPr>
              <w:t>；</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2.</w:t>
            </w:r>
            <w:r>
              <w:rPr>
                <w:rFonts w:hint="eastAsia"/>
              </w:rPr>
              <w:t>具有副高及以上相关专业技术职称；</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材料与化工领域（化学工程方向）</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5"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sz w:val="20"/>
                <w:szCs w:val="20"/>
                <w:highlight w:val="none"/>
                <w:lang w:val="en-US" w:eastAsia="zh-CN"/>
              </w:rPr>
            </w:pPr>
            <w:r>
              <w:rPr>
                <w:rFonts w:hint="eastAsia" w:ascii="仿宋" w:hAnsi="仿宋" w:eastAsia="仿宋" w:cs="仿宋"/>
                <w:sz w:val="20"/>
                <w:szCs w:val="20"/>
                <w:highlight w:val="none"/>
                <w:lang w:val="en-US" w:eastAsia="zh-CN"/>
              </w:rPr>
              <w:t>19</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资源与环境专业类别硕士研究生导师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地质工程、环境工程、矿业工程、安全工程、测绘工程等</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lang w:val="en-US" w:eastAsia="zh-CN"/>
              </w:rPr>
              <w:t>7</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该专业硕士研究生实践/创新、毕业论文等的联合指导工作；承担部分实践/工程类课程的教学与学术报告；参与学科团队建设，推动所在企业与高校联合开展资源与环境类相关科研项目研究；承担高校科研成果中试放大和产业化基地建设，积极转化高科技创新成果，推动所在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rPr>
            </w:pPr>
            <w:r>
              <w:rPr>
                <w:rFonts w:hint="eastAsia"/>
              </w:rPr>
              <w:t>1</w:t>
            </w:r>
            <w:r>
              <w:rPr>
                <w:rFonts w:hint="eastAsia"/>
                <w:lang w:val="en-US" w:eastAsia="zh-CN"/>
              </w:rPr>
              <w:t>.</w:t>
            </w:r>
            <w:r>
              <w:rPr>
                <w:rFonts w:hint="eastAsia"/>
              </w:rPr>
              <w:t>具有资源与环境类工科背景，具有副高级以上相关专业技术职称；</w:t>
            </w:r>
          </w:p>
          <w:p>
            <w:pPr>
              <w:keepNext w:val="0"/>
              <w:keepLines w:val="0"/>
              <w:pageBreakBefore w:val="0"/>
              <w:widowControl/>
              <w:kinsoku/>
              <w:wordWrap/>
              <w:overflowPunct/>
              <w:topLinePunct w:val="0"/>
              <w:autoSpaceDE/>
              <w:autoSpaceDN/>
              <w:bidi w:val="0"/>
              <w:spacing w:line="240" w:lineRule="exact"/>
              <w:rPr>
                <w:rFonts w:hint="eastAsia"/>
              </w:rPr>
            </w:pPr>
            <w:r>
              <w:rPr>
                <w:rFonts w:hint="eastAsia"/>
              </w:rPr>
              <w:t>2</w:t>
            </w:r>
            <w:r>
              <w:rPr>
                <w:rFonts w:hint="eastAsia"/>
                <w:lang w:val="en-US" w:eastAsia="zh-CN"/>
              </w:rPr>
              <w:t>.</w:t>
            </w:r>
            <w:r>
              <w:rPr>
                <w:rFonts w:hint="eastAsia"/>
              </w:rPr>
              <w:t>具有长期从事资源与环境领域相关方向工程实践经验（具有职业资格证书或具备相应行业工作经验或承担过工程技术类课题）；</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3</w:t>
            </w:r>
            <w:r>
              <w:rPr>
                <w:rFonts w:hint="eastAsia"/>
                <w:lang w:val="en-US" w:eastAsia="zh-CN"/>
              </w:rPr>
              <w:t>.</w:t>
            </w:r>
            <w:r>
              <w:rPr>
                <w:rFonts w:hint="eastAsia"/>
              </w:rPr>
              <w:t>具有培训学生所需的科研场所，仪器设备及科研经费；4</w:t>
            </w:r>
            <w:r>
              <w:rPr>
                <w:rFonts w:hint="eastAsia"/>
                <w:lang w:val="en-US" w:eastAsia="zh-CN"/>
              </w:rPr>
              <w:t>.</w:t>
            </w:r>
            <w:r>
              <w:rPr>
                <w:rFonts w:hint="eastAsia"/>
              </w:rPr>
              <w:t>能够承担资源与环境领域相关方向研究生实践/创新类课程的教学和学术报告等内容。</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资源与环境领域</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5"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sz w:val="20"/>
                <w:szCs w:val="20"/>
                <w:highlight w:val="none"/>
                <w:lang w:val="en-US" w:eastAsia="zh-CN"/>
              </w:rPr>
            </w:pPr>
            <w:r>
              <w:rPr>
                <w:rFonts w:hint="eastAsia" w:ascii="仿宋" w:hAnsi="仿宋" w:eastAsia="仿宋" w:cs="仿宋"/>
                <w:sz w:val="20"/>
                <w:szCs w:val="20"/>
                <w:highlight w:val="none"/>
                <w:lang w:val="en-US" w:eastAsia="zh-CN"/>
              </w:rPr>
              <w:t>20</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生物与医药专业类别硕士研究生导师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制药工程</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rPr>
              <w:t>1</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参与高校学科团队建设，推动所在企业与高校联合开展</w:t>
            </w:r>
            <w:r>
              <w:rPr>
                <w:rFonts w:hint="eastAsia"/>
                <w:lang w:val="en-US" w:eastAsia="zh-CN"/>
              </w:rPr>
              <w:t>药学</w:t>
            </w:r>
            <w:r>
              <w:rPr>
                <w:rFonts w:hint="eastAsia"/>
              </w:rPr>
              <w:t>相关科研项目研究；承担高校科研成果中试放大和产业化基地建设，积极转化高科技创新成果，推动所在企业成为高校教学和实习基地，创造条件吸纳高校毕业生就业。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rPr>
            </w:pPr>
            <w:r>
              <w:rPr>
                <w:rFonts w:hint="eastAsia"/>
              </w:rPr>
              <w:t>1.具有药学专业背景；</w:t>
            </w:r>
          </w:p>
          <w:p>
            <w:pPr>
              <w:keepNext w:val="0"/>
              <w:keepLines w:val="0"/>
              <w:pageBreakBefore w:val="0"/>
              <w:widowControl/>
              <w:kinsoku/>
              <w:wordWrap/>
              <w:overflowPunct/>
              <w:topLinePunct w:val="0"/>
              <w:autoSpaceDE/>
              <w:autoSpaceDN/>
              <w:bidi w:val="0"/>
              <w:spacing w:line="240" w:lineRule="exact"/>
              <w:rPr>
                <w:rFonts w:hint="eastAsia"/>
              </w:rPr>
            </w:pPr>
            <w:r>
              <w:rPr>
                <w:rFonts w:hint="eastAsia"/>
              </w:rPr>
              <w:t>2</w:t>
            </w:r>
            <w:r>
              <w:rPr>
                <w:rFonts w:hint="eastAsia"/>
                <w:lang w:val="en-US" w:eastAsia="zh-CN"/>
              </w:rPr>
              <w:t>.</w:t>
            </w:r>
            <w:r>
              <w:rPr>
                <w:rFonts w:hint="eastAsia"/>
              </w:rPr>
              <w:t>具有长期从事</w:t>
            </w:r>
            <w:r>
              <w:rPr>
                <w:rFonts w:hint="eastAsia"/>
                <w:lang w:val="en-US" w:eastAsia="zh-CN"/>
              </w:rPr>
              <w:t>制药</w:t>
            </w:r>
            <w:r>
              <w:rPr>
                <w:rFonts w:hint="eastAsia"/>
              </w:rPr>
              <w:t>领域相关方向工程实践经验（具有职业资格证书或具备相应行业工作经验或承担过工程技术类课题）；</w:t>
            </w:r>
          </w:p>
          <w:p>
            <w:pPr>
              <w:keepNext w:val="0"/>
              <w:keepLines w:val="0"/>
              <w:pageBreakBefore w:val="0"/>
              <w:widowControl/>
              <w:kinsoku/>
              <w:wordWrap/>
              <w:overflowPunct/>
              <w:topLinePunct w:val="0"/>
              <w:autoSpaceDE/>
              <w:autoSpaceDN/>
              <w:bidi w:val="0"/>
              <w:spacing w:line="240" w:lineRule="exact"/>
              <w:rPr>
                <w:rFonts w:hint="eastAsia"/>
              </w:rPr>
            </w:pPr>
            <w:r>
              <w:rPr>
                <w:rFonts w:hint="eastAsia"/>
              </w:rPr>
              <w:t>3</w:t>
            </w:r>
            <w:r>
              <w:rPr>
                <w:rFonts w:hint="eastAsia"/>
                <w:lang w:val="en-US" w:eastAsia="zh-CN"/>
              </w:rPr>
              <w:t>.</w:t>
            </w:r>
            <w:r>
              <w:rPr>
                <w:rFonts w:hint="eastAsia"/>
              </w:rPr>
              <w:t>具有培训学生所需的科研场所，仪器设备及科研经费；</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4</w:t>
            </w:r>
            <w:r>
              <w:rPr>
                <w:rFonts w:hint="eastAsia"/>
                <w:lang w:val="en-US" w:eastAsia="zh-CN"/>
              </w:rPr>
              <w:t>.</w:t>
            </w:r>
            <w:r>
              <w:rPr>
                <w:rFonts w:hint="eastAsia"/>
              </w:rPr>
              <w:t>能够承担资源与环境领域相关方向研究生实践/创新类课程的教学和学术报告等内容。</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生物与医药专业类别</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5" w:hRule="atLeast"/>
        </w:trPr>
        <w:tc>
          <w:tcPr>
            <w:tcW w:w="0" w:type="auto"/>
            <w:vAlign w:val="center"/>
          </w:tcPr>
          <w:p>
            <w:pPr>
              <w:keepNext w:val="0"/>
              <w:keepLines w:val="0"/>
              <w:pageBreakBefore w:val="0"/>
              <w:widowControl/>
              <w:kinsoku/>
              <w:wordWrap/>
              <w:overflowPunct/>
              <w:topLinePunct w:val="0"/>
              <w:autoSpaceDE/>
              <w:autoSpaceDN/>
              <w:bidi w:val="0"/>
              <w:spacing w:line="240" w:lineRule="exact"/>
              <w:jc w:val="center"/>
              <w:rPr>
                <w:rFonts w:hint="eastAsia" w:ascii="仿宋" w:hAnsi="仿宋" w:eastAsia="仿宋" w:cs="仿宋"/>
                <w:sz w:val="20"/>
                <w:szCs w:val="20"/>
                <w:highlight w:val="none"/>
                <w:lang w:val="en-US" w:eastAsia="zh-CN"/>
              </w:rPr>
            </w:pPr>
            <w:r>
              <w:rPr>
                <w:rFonts w:hint="eastAsia" w:ascii="仿宋" w:hAnsi="仿宋" w:eastAsia="仿宋" w:cs="仿宋"/>
                <w:sz w:val="20"/>
                <w:szCs w:val="20"/>
                <w:highlight w:val="none"/>
                <w:lang w:val="en-US" w:eastAsia="zh-CN"/>
              </w:rPr>
              <w:t>21</w:t>
            </w:r>
          </w:p>
        </w:tc>
        <w:tc>
          <w:tcPr>
            <w:tcW w:w="1195" w:type="dxa"/>
            <w:vAlign w:val="center"/>
          </w:tcPr>
          <w:p>
            <w:pPr>
              <w:keepNext w:val="0"/>
              <w:keepLines w:val="0"/>
              <w:pageBreakBefore w:val="0"/>
              <w:widowControl/>
              <w:kinsoku/>
              <w:wordWrap/>
              <w:overflowPunct/>
              <w:topLinePunct w:val="0"/>
              <w:autoSpaceDE/>
              <w:autoSpaceDN/>
              <w:bidi w:val="0"/>
              <w:spacing w:line="240" w:lineRule="exact"/>
              <w:rPr>
                <w:rFonts w:hint="default"/>
                <w:lang w:val="en-US" w:eastAsia="zh-CN"/>
              </w:rPr>
            </w:pPr>
            <w:r>
              <w:rPr>
                <w:rFonts w:hint="eastAsia"/>
              </w:rPr>
              <w:t>贵州大学</w:t>
            </w:r>
          </w:p>
        </w:tc>
        <w:tc>
          <w:tcPr>
            <w:tcW w:w="1131"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生物与医药专业类别硕士研究生导师</w:t>
            </w:r>
          </w:p>
        </w:tc>
        <w:tc>
          <w:tcPr>
            <w:tcW w:w="1117" w:type="dxa"/>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lang w:val="en-US" w:eastAsia="zh-CN"/>
              </w:rPr>
              <w:t>辣椒</w:t>
            </w:r>
          </w:p>
        </w:tc>
        <w:tc>
          <w:tcPr>
            <w:tcW w:w="654" w:type="dxa"/>
            <w:vAlign w:val="center"/>
          </w:tcPr>
          <w:p>
            <w:pPr>
              <w:keepNext w:val="0"/>
              <w:keepLines w:val="0"/>
              <w:pageBreakBefore w:val="0"/>
              <w:widowControl/>
              <w:kinsoku/>
              <w:wordWrap/>
              <w:overflowPunct/>
              <w:topLinePunct w:val="0"/>
              <w:autoSpaceDE/>
              <w:autoSpaceDN/>
              <w:bidi w:val="0"/>
              <w:spacing w:line="240" w:lineRule="exact"/>
              <w:jc w:val="center"/>
              <w:rPr>
                <w:rFonts w:hint="eastAsia"/>
                <w:lang w:val="en-US" w:eastAsia="zh-CN"/>
              </w:rPr>
            </w:pPr>
            <w:r>
              <w:rPr>
                <w:rFonts w:hint="eastAsia"/>
              </w:rPr>
              <w:t>1</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参与高校学科团队建设，推动所在企业与高校联合开展</w:t>
            </w:r>
            <w:r>
              <w:rPr>
                <w:rFonts w:hint="eastAsia"/>
                <w:lang w:val="en-US" w:eastAsia="zh-CN"/>
              </w:rPr>
              <w:t>辣椒</w:t>
            </w:r>
            <w:r>
              <w:rPr>
                <w:rFonts w:hint="eastAsia"/>
              </w:rPr>
              <w:t>相关科研项目研究；承担高校科研成果中试放大和产业化基地建设，积极转化高科技创新</w:t>
            </w:r>
            <w:bookmarkStart w:id="0" w:name="_GoBack"/>
            <w:bookmarkEnd w:id="0"/>
            <w:r>
              <w:rPr>
                <w:rFonts w:hint="eastAsia"/>
              </w:rPr>
              <w:t>成果，推动所在企业成为高校教学和实习基地，创造条件吸纳高校毕业生就业。</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rPr>
            </w:pPr>
            <w:r>
              <w:rPr>
                <w:rFonts w:hint="eastAsia"/>
              </w:rPr>
              <w:t>1.具有</w:t>
            </w:r>
            <w:r>
              <w:rPr>
                <w:rFonts w:hint="eastAsia"/>
                <w:lang w:val="en-US" w:eastAsia="zh-CN"/>
              </w:rPr>
              <w:t>生物学、辣椒</w:t>
            </w:r>
            <w:r>
              <w:rPr>
                <w:rFonts w:hint="eastAsia"/>
              </w:rPr>
              <w:t>专业背景；</w:t>
            </w:r>
          </w:p>
          <w:p>
            <w:pPr>
              <w:keepNext w:val="0"/>
              <w:keepLines w:val="0"/>
              <w:pageBreakBefore w:val="0"/>
              <w:widowControl/>
              <w:kinsoku/>
              <w:wordWrap/>
              <w:overflowPunct/>
              <w:topLinePunct w:val="0"/>
              <w:autoSpaceDE/>
              <w:autoSpaceDN/>
              <w:bidi w:val="0"/>
              <w:spacing w:line="240" w:lineRule="exact"/>
              <w:rPr>
                <w:rFonts w:hint="eastAsia"/>
              </w:rPr>
            </w:pPr>
            <w:r>
              <w:rPr>
                <w:rFonts w:hint="eastAsia"/>
              </w:rPr>
              <w:t>2</w:t>
            </w:r>
            <w:r>
              <w:rPr>
                <w:rFonts w:hint="eastAsia"/>
                <w:lang w:val="en-US" w:eastAsia="zh-CN"/>
              </w:rPr>
              <w:t>.</w:t>
            </w:r>
            <w:r>
              <w:rPr>
                <w:rFonts w:hint="eastAsia"/>
              </w:rPr>
              <w:t>具有长期从事</w:t>
            </w:r>
            <w:r>
              <w:rPr>
                <w:rFonts w:hint="eastAsia"/>
                <w:lang w:val="en-US" w:eastAsia="zh-CN"/>
              </w:rPr>
              <w:t>辣椒</w:t>
            </w:r>
            <w:r>
              <w:rPr>
                <w:rFonts w:hint="eastAsia"/>
              </w:rPr>
              <w:t>领域相关方向工程实践经验（具有职业资格证书或具备相应行业工作经验或承担过工程技术类课题）；</w:t>
            </w:r>
          </w:p>
          <w:p>
            <w:pPr>
              <w:keepNext w:val="0"/>
              <w:keepLines w:val="0"/>
              <w:pageBreakBefore w:val="0"/>
              <w:widowControl/>
              <w:kinsoku/>
              <w:wordWrap/>
              <w:overflowPunct/>
              <w:topLinePunct w:val="0"/>
              <w:autoSpaceDE/>
              <w:autoSpaceDN/>
              <w:bidi w:val="0"/>
              <w:spacing w:line="240" w:lineRule="exact"/>
              <w:rPr>
                <w:rFonts w:hint="eastAsia"/>
              </w:rPr>
            </w:pPr>
            <w:r>
              <w:rPr>
                <w:rFonts w:hint="eastAsia"/>
              </w:rPr>
              <w:t>3</w:t>
            </w:r>
            <w:r>
              <w:rPr>
                <w:rFonts w:hint="eastAsia"/>
                <w:lang w:val="en-US" w:eastAsia="zh-CN"/>
              </w:rPr>
              <w:t>.</w:t>
            </w:r>
            <w:r>
              <w:rPr>
                <w:rFonts w:hint="eastAsia"/>
              </w:rPr>
              <w:t>具有培训学生所需的科研场所，仪器设备及科研经费；</w:t>
            </w:r>
          </w:p>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4</w:t>
            </w:r>
            <w:r>
              <w:rPr>
                <w:rFonts w:hint="eastAsia"/>
                <w:lang w:val="en-US" w:eastAsia="zh-CN"/>
              </w:rPr>
              <w:t>.</w:t>
            </w:r>
            <w:r>
              <w:rPr>
                <w:rFonts w:hint="eastAsia"/>
              </w:rPr>
              <w:t>能够承担</w:t>
            </w:r>
            <w:r>
              <w:rPr>
                <w:rFonts w:hint="eastAsia"/>
                <w:lang w:val="en-US" w:eastAsia="zh-CN"/>
              </w:rPr>
              <w:t>生物与医药</w:t>
            </w:r>
            <w:r>
              <w:rPr>
                <w:rFonts w:hint="eastAsia"/>
              </w:rPr>
              <w:t>领域相关方向研究生实践/创新类课程的教学和学术报告等内容。</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生物与医药专业类别</w:t>
            </w:r>
          </w:p>
        </w:tc>
        <w:tc>
          <w:tcPr>
            <w:tcW w:w="0" w:type="auto"/>
            <w:vAlign w:val="center"/>
          </w:tcPr>
          <w:p>
            <w:pPr>
              <w:keepNext w:val="0"/>
              <w:keepLines w:val="0"/>
              <w:pageBreakBefore w:val="0"/>
              <w:widowControl/>
              <w:kinsoku/>
              <w:wordWrap/>
              <w:overflowPunct/>
              <w:topLinePunct w:val="0"/>
              <w:autoSpaceDE/>
              <w:autoSpaceDN/>
              <w:bidi w:val="0"/>
              <w:spacing w:line="240" w:lineRule="exact"/>
              <w:rPr>
                <w:rFonts w:hint="eastAsia"/>
                <w:lang w:val="en-US" w:eastAsia="zh-CN"/>
              </w:rPr>
            </w:pPr>
            <w:r>
              <w:rPr>
                <w:rFonts w:hint="eastAsia"/>
              </w:rPr>
              <w:t>大型国有企业；大型民营企业；工程技术在国内外有影响的企业；科研院所</w:t>
            </w:r>
          </w:p>
        </w:tc>
      </w:tr>
    </w:tbl>
    <w:p>
      <w:pPr>
        <w:pStyle w:val="4"/>
        <w:ind w:left="0" w:leftChars="0" w:firstLine="0" w:firstLineChars="0"/>
        <w:rPr>
          <w:rFonts w:hint="default"/>
          <w:lang w:val="en-US" w:eastAsia="zh-CN"/>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E932197-3010-4A7C-8442-02D15D96487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embedRegular r:id="rId2" w:fontKey="{47E03C65-418A-4D8F-B7CE-A6C3183A369D}"/>
  </w:font>
  <w:font w:name="Consolas">
    <w:panose1 w:val="020B0609020204030204"/>
    <w:charset w:val="00"/>
    <w:family w:val="auto"/>
    <w:pitch w:val="default"/>
    <w:sig w:usb0="E00006FF" w:usb1="0000FCFF" w:usb2="00000001" w:usb3="00000000" w:csb0="6000019F" w:csb1="DFD70000"/>
  </w:font>
  <w:font w:name="仿宋">
    <w:panose1 w:val="02010609060101010101"/>
    <w:charset w:val="86"/>
    <w:family w:val="modern"/>
    <w:pitch w:val="default"/>
    <w:sig w:usb0="800002BF" w:usb1="38CF7CFA" w:usb2="00000016" w:usb3="00000000" w:csb0="00040001" w:csb1="00000000"/>
    <w:embedRegular r:id="rId3" w:fontKey="{570A68AD-3C74-4286-8614-EB587A068E1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590586"/>
    <w:rsid w:val="09BE53EB"/>
    <w:rsid w:val="0BD65344"/>
    <w:rsid w:val="1120287B"/>
    <w:rsid w:val="13012C76"/>
    <w:rsid w:val="16DA1114"/>
    <w:rsid w:val="19CC62DF"/>
    <w:rsid w:val="1B3C4395"/>
    <w:rsid w:val="1B425C9E"/>
    <w:rsid w:val="1B621748"/>
    <w:rsid w:val="1DB02BB8"/>
    <w:rsid w:val="238D5931"/>
    <w:rsid w:val="281F38EF"/>
    <w:rsid w:val="2A2B569D"/>
    <w:rsid w:val="2B0679D6"/>
    <w:rsid w:val="2D83015A"/>
    <w:rsid w:val="2FFD6BD4"/>
    <w:rsid w:val="308B0B7E"/>
    <w:rsid w:val="348012B7"/>
    <w:rsid w:val="37917590"/>
    <w:rsid w:val="3AE825AA"/>
    <w:rsid w:val="3C580BD4"/>
    <w:rsid w:val="3C646A47"/>
    <w:rsid w:val="3EA94072"/>
    <w:rsid w:val="41165C15"/>
    <w:rsid w:val="41E02253"/>
    <w:rsid w:val="431E6300"/>
    <w:rsid w:val="47750B76"/>
    <w:rsid w:val="48E03392"/>
    <w:rsid w:val="53916C7E"/>
    <w:rsid w:val="58621F04"/>
    <w:rsid w:val="59225C67"/>
    <w:rsid w:val="5B3C2760"/>
    <w:rsid w:val="5C7E0D87"/>
    <w:rsid w:val="64695588"/>
    <w:rsid w:val="653336E4"/>
    <w:rsid w:val="654B2C43"/>
    <w:rsid w:val="667939EE"/>
    <w:rsid w:val="676B2174"/>
    <w:rsid w:val="67B95FB5"/>
    <w:rsid w:val="6D2F2881"/>
    <w:rsid w:val="70D64C63"/>
    <w:rsid w:val="72D40534"/>
    <w:rsid w:val="73383C8F"/>
    <w:rsid w:val="76D75B2F"/>
    <w:rsid w:val="773E7B3E"/>
    <w:rsid w:val="78945E01"/>
    <w:rsid w:val="795256A8"/>
    <w:rsid w:val="79FA7443"/>
    <w:rsid w:val="7AEE3A99"/>
    <w:rsid w:val="7BCE50BB"/>
    <w:rsid w:val="7C832A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semiHidden/>
    <w:unhideWhenUsed/>
    <w:qFormat/>
    <w:uiPriority w:val="0"/>
    <w:pPr>
      <w:jc w:val="left"/>
      <w:outlineLvl w:val="2"/>
    </w:pPr>
    <w:rPr>
      <w:rFonts w:hint="eastAsia" w:ascii="宋体" w:hAnsi="宋体" w:cs="Times New Roman"/>
      <w:b/>
      <w:bCs/>
      <w:kern w:val="0"/>
      <w:sz w:val="27"/>
      <w:szCs w:val="27"/>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正文-公1"/>
    <w:basedOn w:val="1"/>
    <w:qFormat/>
    <w:uiPriority w:val="0"/>
    <w:pPr>
      <w:ind w:firstLine="200" w:firstLineChars="200"/>
    </w:pPr>
  </w:style>
  <w:style w:type="paragraph" w:styleId="4">
    <w:name w:val="table of authorities"/>
    <w:basedOn w:val="1"/>
    <w:next w:val="1"/>
    <w:qFormat/>
    <w:uiPriority w:val="0"/>
    <w:pPr>
      <w:ind w:left="420" w:leftChars="200"/>
    </w:p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0" w:after="150" w:afterAutospacing="0"/>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FollowedHyperlink"/>
    <w:basedOn w:val="9"/>
    <w:qFormat/>
    <w:uiPriority w:val="0"/>
    <w:rPr>
      <w:color w:val="7F8490"/>
      <w:u w:val="none"/>
    </w:rPr>
  </w:style>
  <w:style w:type="character" w:styleId="12">
    <w:name w:val="HTML Definition"/>
    <w:basedOn w:val="9"/>
    <w:qFormat/>
    <w:uiPriority w:val="0"/>
    <w:rPr>
      <w:i/>
    </w:rPr>
  </w:style>
  <w:style w:type="character" w:styleId="13">
    <w:name w:val="Hyperlink"/>
    <w:basedOn w:val="9"/>
    <w:qFormat/>
    <w:uiPriority w:val="0"/>
    <w:rPr>
      <w:color w:val="7F8490"/>
      <w:u w:val="none"/>
    </w:rPr>
  </w:style>
  <w:style w:type="character" w:styleId="14">
    <w:name w:val="HTML Code"/>
    <w:basedOn w:val="9"/>
    <w:qFormat/>
    <w:uiPriority w:val="0"/>
    <w:rPr>
      <w:rFonts w:hint="default" w:ascii="Consolas" w:hAnsi="Consolas" w:eastAsia="Consolas" w:cs="Consolas"/>
      <w:color w:val="C7254E"/>
      <w:sz w:val="21"/>
      <w:szCs w:val="21"/>
      <w:shd w:val="clear" w:fill="F9F2F4"/>
    </w:rPr>
  </w:style>
  <w:style w:type="character" w:styleId="15">
    <w:name w:val="HTML Keyboard"/>
    <w:basedOn w:val="9"/>
    <w:qFormat/>
    <w:uiPriority w:val="0"/>
    <w:rPr>
      <w:rFonts w:hint="default" w:ascii="Consolas" w:hAnsi="Consolas" w:eastAsia="Consolas" w:cs="Consolas"/>
      <w:color w:val="FFFFFF"/>
      <w:sz w:val="21"/>
      <w:szCs w:val="21"/>
      <w:shd w:val="clear" w:fill="333333"/>
    </w:rPr>
  </w:style>
  <w:style w:type="character" w:styleId="16">
    <w:name w:val="HTML Sample"/>
    <w:basedOn w:val="9"/>
    <w:qFormat/>
    <w:uiPriority w:val="0"/>
    <w:rPr>
      <w:rFonts w:ascii="Consolas" w:hAnsi="Consolas" w:eastAsia="Consolas" w:cs="Consolas"/>
      <w:sz w:val="21"/>
      <w:szCs w:val="21"/>
    </w:rPr>
  </w:style>
  <w:style w:type="character" w:customStyle="1" w:styleId="17">
    <w:name w:val="item-name"/>
    <w:basedOn w:val="9"/>
    <w:qFormat/>
    <w:uiPriority w:val="0"/>
  </w:style>
  <w:style w:type="character" w:customStyle="1" w:styleId="18">
    <w:name w:val="item-name1"/>
    <w:basedOn w:val="9"/>
    <w:qFormat/>
    <w:uiPriority w:val="0"/>
  </w:style>
  <w:style w:type="character" w:customStyle="1" w:styleId="19">
    <w:name w:val="item-name2"/>
    <w:basedOn w:val="9"/>
    <w:qFormat/>
    <w:uiPriority w:val="0"/>
    <w:rPr>
      <w:color w:val="FFFFFF"/>
    </w:rPr>
  </w:style>
  <w:style w:type="character" w:customStyle="1" w:styleId="20">
    <w:name w:val="item-name3"/>
    <w:basedOn w:val="9"/>
    <w:qFormat/>
    <w:uiPriority w:val="0"/>
  </w:style>
  <w:style w:type="character" w:customStyle="1" w:styleId="21">
    <w:name w:val="pubdate-day"/>
    <w:basedOn w:val="9"/>
    <w:qFormat/>
    <w:uiPriority w:val="0"/>
    <w:rPr>
      <w:shd w:val="clear" w:fill="F2F2F2"/>
    </w:rPr>
  </w:style>
  <w:style w:type="character" w:customStyle="1" w:styleId="22">
    <w:name w:val="red2"/>
    <w:basedOn w:val="9"/>
    <w:qFormat/>
    <w:uiPriority w:val="0"/>
    <w:rPr>
      <w:color w:val="EB330D"/>
    </w:rPr>
  </w:style>
  <w:style w:type="character" w:customStyle="1" w:styleId="23">
    <w:name w:val="point"/>
    <w:basedOn w:val="9"/>
    <w:qFormat/>
    <w:uiPriority w:val="0"/>
    <w:rPr>
      <w:color w:val="FFFFFF"/>
      <w:sz w:val="27"/>
      <w:szCs w:val="27"/>
      <w:shd w:val="clear" w:fill="EB330D"/>
    </w:rPr>
  </w:style>
  <w:style w:type="character" w:customStyle="1" w:styleId="24">
    <w:name w:val="subpoint"/>
    <w:basedOn w:val="9"/>
    <w:qFormat/>
    <w:uiPriority w:val="0"/>
    <w:rPr>
      <w:sz w:val="27"/>
      <w:szCs w:val="27"/>
    </w:rPr>
  </w:style>
  <w:style w:type="character" w:customStyle="1" w:styleId="25">
    <w:name w:val="pubdate-month"/>
    <w:basedOn w:val="9"/>
    <w:qFormat/>
    <w:uiPriority w:val="0"/>
    <w:rPr>
      <w:color w:val="FFFFFF"/>
      <w:sz w:val="24"/>
      <w:szCs w:val="24"/>
      <w:shd w:val="clear" w:fill="CC0000"/>
    </w:rPr>
  </w:style>
  <w:style w:type="paragraph" w:styleId="2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19068</Words>
  <Characters>19390</Characters>
  <Lines>0</Lines>
  <Paragraphs>0</Paragraphs>
  <TotalTime>1</TotalTime>
  <ScaleCrop>false</ScaleCrop>
  <LinksUpToDate>false</LinksUpToDate>
  <CharactersWithSpaces>19429</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2020-12-02T02:01:00Z</dcterms:created>
  <dc:creator>Administrator</dc:creator>
  <cp:lastModifiedBy>Uranu</cp:lastModifiedBy>
  <cp:lastPrinted>2020-12-04T02:11:00Z</cp:lastPrinted>
  <dcterms:modified xsi:type="dcterms:W3CDTF">2021-09-30T07:34:38Z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FEC74BBF43D84F1D87E9E5862588C460</vt:lpwstr>
  </property>
</Properties>
</file>